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Implementadores (3 Días)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(MP)
                <w:br/>
                Carla Suarez (CS)
                <w:br/>
                Felipe Gonzales (FG)
                <w:br/>
                Luis Novoa  (LN)
                <w:br/>
                Tamia Rodriguez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25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10:15am</w:t>
            </w:r>
          </w:p>
        </w:tc>
        <w:tc>
          <w:tcPr>
            <w:tcW w:w="3685" w:type="dxa"/>
          </w:tcPr>
          <w:p w:rsidR="00225892" w:rsidRPr="00746199" w:rsidRDefault="00225892" w:rsidP="000C50EB">
            <w:pPr>
              <w:rPr>
                <w:b/>
              </w:rPr>
            </w:pPr>
            <w:r w:rsidRPr="00746199">
              <w:rPr>
                <w:b/>
              </w:rPr>
              <w:t>A2.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11:30am</w:t>
            </w:r>
          </w:p>
        </w:tc>
        <w:tc>
          <w:tcPr>
            <w:tcW w:w="3685" w:type="dxa"/>
          </w:tcPr>
          <w:p w:rsidR="00225892" w:rsidRPr="00746199" w:rsidRDefault="00225892" w:rsidP="000C50EB">
            <w:pPr>
              <w:rPr>
                <w:b/>
              </w:rPr>
            </w:pPr>
            <w:r w:rsidRPr="00746199">
              <w:rPr>
                <w:b/>
              </w:rPr>
              <w:t>Introducción sobre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3:25pm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4:50pm</w:t>
            </w:r>
          </w:p>
        </w:tc>
        <w:tc>
          <w:tcPr>
            <w:tcW w:w="3685" w:type="dxa"/>
          </w:tcPr>
          <w:p w:rsidR="00225892" w:rsidRPr="00746199" w:rsidRDefault="00225892" w:rsidP="000C50EB">
            <w:pPr>
              <w:rPr>
                <w:b/>
              </w:rPr>
            </w:pPr>
            <w:r w:rsidRPr="00746199">
              <w:rPr>
                <w:b/>
              </w:rPr>
              <w:t>Charla: Límites constitucionales al uso de la fuerza,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Virtual Inicia con Video https://www.youtube.com/watch?v=RG4ELN85B2M minuto 7:41 al minuto 16. Sentencia sentencia 33-20-IN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5:00pm</w:t>
            </w:r>
          </w:p>
        </w:tc>
        <w:tc>
          <w:tcPr>
            <w:tcW w:w="3685" w:type="dxa"/>
          </w:tcPr>
          <w:p w:rsidR="00225892" w:rsidRPr="00746199" w:rsidRDefault="00225892" w:rsidP="000C50EB">
            <w:pPr>
              <w:rPr>
                <w:b/>
              </w:rPr>
            </w:pPr>
            <w:r w:rsidRPr="00746199">
              <w:rPr>
                <w:b/>
              </w:rPr>
              <w:t>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9:05am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10:35am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12:35pm</w:t>
            </w:r>
          </w:p>
        </w:tc>
        <w:tc>
          <w:tcPr>
            <w:tcW w:w="3685" w:type="dxa"/>
          </w:tcPr>
          <w:p w:rsidR="00225892" w:rsidRPr="00746199" w:rsidRDefault="00225892" w:rsidP="000C50EB">
            <w:pPr>
              <w:rPr>
                <w:b/>
              </w:rPr>
            </w:pPr>
            <w:r w:rsidRPr="00746199">
              <w:rPr>
                <w:b/>
              </w:rPr>
              <w:t>Charla: Consideraciones legales en el Uso de la Fuerza (COIP, COESCOP)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1:35pm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1:35pm – 2:35pm</w:t>
            </w:r>
          </w:p>
        </w:tc>
        <w:tc>
          <w:tcPr>
            <w:tcW w:w="3685" w:type="dxa"/>
          </w:tcPr>
          <w:p w:rsidR="00225892" w:rsidRPr="00746199" w:rsidRDefault="00225892" w:rsidP="000C50EB">
            <w:pPr>
              <w:rPr>
                <w:b/>
              </w:rPr>
            </w:pPr>
            <w:r w:rsidRPr="00746199">
              <w:rPr>
                <w:b/>
              </w:rPr>
              <w:t>Charla: Estándares sobre medios para el empleo de la fuerza. Experto Felipe Gonzales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4:05pm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5:05pm</w:t>
            </w:r>
          </w:p>
        </w:tc>
        <w:tc>
          <w:tcPr>
            <w:tcW w:w="3685" w:type="dxa"/>
          </w:tcPr>
          <w:p w:rsidR="00225892" w:rsidRPr="00746199" w:rsidRDefault="00225892" w:rsidP="000C50EB">
            <w:pPr>
              <w:rPr>
                <w:b/>
              </w:rPr>
            </w:pPr>
            <w:r w:rsidRPr="00746199">
              <w:rPr>
                <w:b/>
              </w:rPr>
              <w:t>Ley Uso de la Fuerza Experto Diego Guarderas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Video Recapitulación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A5.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 CP,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11:35am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12:05pm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2:25pm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3:55pm</w:t>
            </w:r>
          </w:p>
        </w:tc>
        <w:tc>
          <w:tcPr>
            <w:tcW w:w="3685" w:type="dxa"/>
          </w:tcPr>
          <w:p w:rsidR="00225892" w:rsidRPr="00746199" w:rsidRDefault="00225892" w:rsidP="000C50EB">
            <w:pPr>
              <w:rPr>
                <w:b/>
              </w:rPr>
            </w:pPr>
            <w:r w:rsidRPr="00746199">
              <w:rPr>
                <w:b/>
              </w:rPr>
              <w:t>Actividad final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Círculos de obligaciones del Estado
                <w:br/>
                • R3P.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
Step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
Step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
Step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Evaluación uso de la fuerza
                <w:br/>
                • R5.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
Step
1</w:t>
      </w:r>
      <w:r>
        <w:rPr/>
        <w:t xml:space="preserve">.
Se
divide
el
grupo
en
grupos
de
3
a
4
personas,
deben
haber
al
menos
3
grupos. </w:t>
      </w:r>
    </w:p>
    <w:p w:rsidR="00A66EE4" w:rsidRPr="00746199" w:rsidRDefault="00A66EE4" w:rsidP="002D3517"/>
    <w:p>
      <w:pPr>
        <w:widowControl w:val="on"/>
        <w:pBdr/>
      </w:pPr>
      <w:r>
        <w:rPr>
          <w:b/>
          <w:bCs/>
        </w:rPr>
        <w:t xml:space="preserve">
Step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
Step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
Step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
Step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
Step
6</w:t>
      </w:r>
      <w:r>
        <w:rPr/>
        <w:t xml:space="preserve">.
Permita
que
representen
los
roles
por
máximo
3
minutos.</w:t>
      </w:r>
    </w:p>
    <w:p w:rsidR="00A66EE4" w:rsidRPr="00746199" w:rsidRDefault="00A66EE4" w:rsidP="002D3517"/>
    <w:p>
      <w:pPr>
        <w:widowControl w:val="on"/>
        <w:pBdr/>
      </w:pPr>
      <w:r>
        <w:rPr>
          <w:b/>
          <w:bCs/>
        </w:rPr>
        <w:t xml:space="preserve">
Step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
Step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sobre
uso
de
la
fuerza
para
dinámica
de
grupos.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Step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Step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Step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Step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Step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Step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http://facilitar.io/es/taller/uso-fuerza-para-implementadores-3-dias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