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6028" w14:textId="15D42549" w:rsidR="00F8414F" w:rsidRDefault="00F8414F" w:rsidP="00F8414F">
      <w:pPr>
        <w:jc w:val="center"/>
        <w:rPr>
          <w:rFonts w:asciiTheme="majorHAnsi" w:hAnsiTheme="majorHAnsi" w:cstheme="majorHAnsi"/>
          <w:b/>
          <w:bCs/>
          <w:lang w:val="es-ES"/>
        </w:rPr>
      </w:pPr>
      <w:r w:rsidRPr="00F8414F">
        <w:rPr>
          <w:rFonts w:asciiTheme="majorHAnsi" w:hAnsiTheme="majorHAnsi" w:cstheme="majorHAnsi"/>
          <w:b/>
          <w:bCs/>
          <w:lang w:val="es-ES"/>
        </w:rPr>
        <w:t>VIOLENCIA DE GÉNERO: NORMATIVA INTERNACIONAL</w:t>
      </w:r>
    </w:p>
    <w:p w14:paraId="12B0068D" w14:textId="77777777" w:rsidR="00F8414F" w:rsidRDefault="00F8414F" w:rsidP="00F8414F">
      <w:pPr>
        <w:jc w:val="center"/>
        <w:rPr>
          <w:rFonts w:asciiTheme="majorHAnsi" w:hAnsiTheme="majorHAnsi" w:cstheme="majorHAnsi"/>
          <w:b/>
          <w:bCs/>
          <w:lang w:val="es-ES"/>
        </w:rPr>
      </w:pPr>
    </w:p>
    <w:p w14:paraId="74E5F7A9" w14:textId="77777777" w:rsidR="00F8414F" w:rsidRPr="000E0AA1" w:rsidRDefault="00F8414F" w:rsidP="00F8414F">
      <w:pPr>
        <w:jc w:val="both"/>
        <w:rPr>
          <w:rFonts w:asciiTheme="majorHAnsi" w:hAnsiTheme="majorHAnsi" w:cstheme="majorHAnsi"/>
          <w:b/>
          <w:bCs/>
          <w:lang w:val="es-ES"/>
        </w:rPr>
      </w:pPr>
      <w:r w:rsidRPr="000E0AA1">
        <w:rPr>
          <w:rFonts w:asciiTheme="majorHAnsi" w:hAnsiTheme="majorHAnsi" w:cstheme="majorHAnsi"/>
          <w:b/>
          <w:bCs/>
          <w:lang w:val="es-ES"/>
        </w:rPr>
        <w:t>Definiciones</w:t>
      </w:r>
    </w:p>
    <w:p w14:paraId="029C2620" w14:textId="60D1A087" w:rsidR="00F8414F" w:rsidRPr="000E0AA1" w:rsidRDefault="00F8414F" w:rsidP="00F8414F">
      <w:pPr>
        <w:jc w:val="both"/>
        <w:rPr>
          <w:rFonts w:asciiTheme="majorHAnsi" w:hAnsiTheme="majorHAnsi" w:cstheme="majorHAnsi"/>
          <w:lang w:val="es-ES"/>
        </w:rPr>
      </w:pPr>
      <w:r w:rsidRPr="000E0AA1">
        <w:rPr>
          <w:rFonts w:asciiTheme="majorHAnsi" w:hAnsiTheme="majorHAnsi" w:cstheme="majorHAnsi"/>
          <w:lang w:val="es-ES"/>
        </w:rPr>
        <w:t xml:space="preserve">La violencia por razón de género contra la mujer puede constituir tortura o trato cruel, inhumano o degradante en determinadas circunstancias, en particular en los casos de violación, violencia doméstica o prácticas tradicionales nocivas21. En ciertos casos, algunas formas de violencia por razón de género contra la mujer también pueden constituir delitos internacionales22. Recomendación general </w:t>
      </w:r>
      <w:proofErr w:type="spellStart"/>
      <w:r w:rsidRPr="000E0AA1">
        <w:rPr>
          <w:rFonts w:asciiTheme="majorHAnsi" w:hAnsiTheme="majorHAnsi" w:cstheme="majorHAnsi"/>
          <w:lang w:val="es-ES"/>
        </w:rPr>
        <w:t>num</w:t>
      </w:r>
      <w:proofErr w:type="spellEnd"/>
      <w:r w:rsidRPr="000E0AA1">
        <w:rPr>
          <w:rFonts w:asciiTheme="majorHAnsi" w:hAnsiTheme="majorHAnsi" w:cstheme="majorHAnsi"/>
          <w:lang w:val="es-ES"/>
        </w:rPr>
        <w:t>. 35 sobre la violencia por razón de género contra la mujer, C</w:t>
      </w:r>
      <w:r w:rsidR="009D4917">
        <w:rPr>
          <w:rFonts w:asciiTheme="majorHAnsi" w:hAnsiTheme="majorHAnsi" w:cstheme="majorHAnsi"/>
          <w:lang w:val="es-ES"/>
        </w:rPr>
        <w:t>E</w:t>
      </w:r>
      <w:r>
        <w:rPr>
          <w:rFonts w:asciiTheme="majorHAnsi" w:hAnsiTheme="majorHAnsi" w:cstheme="majorHAnsi"/>
          <w:lang w:val="es-ES"/>
        </w:rPr>
        <w:t>DAW</w:t>
      </w:r>
      <w:r w:rsidRPr="000E0AA1">
        <w:rPr>
          <w:rFonts w:asciiTheme="majorHAnsi" w:hAnsiTheme="majorHAnsi" w:cstheme="majorHAnsi"/>
          <w:lang w:val="es-ES"/>
        </w:rPr>
        <w:t xml:space="preserve"> 2017 </w:t>
      </w:r>
      <w:proofErr w:type="spellStart"/>
      <w:r w:rsidRPr="000E0AA1">
        <w:rPr>
          <w:rFonts w:asciiTheme="majorHAnsi" w:hAnsiTheme="majorHAnsi" w:cstheme="majorHAnsi"/>
          <w:lang w:val="es-ES"/>
        </w:rPr>
        <w:t>parr</w:t>
      </w:r>
      <w:proofErr w:type="spellEnd"/>
      <w:r w:rsidRPr="000E0AA1">
        <w:rPr>
          <w:rFonts w:asciiTheme="majorHAnsi" w:hAnsiTheme="majorHAnsi" w:cstheme="majorHAnsi"/>
          <w:lang w:val="es-ES"/>
        </w:rPr>
        <w:t xml:space="preserve"> 16.</w:t>
      </w:r>
    </w:p>
    <w:p w14:paraId="3B6F5D36" w14:textId="77777777" w:rsidR="00F8414F" w:rsidRPr="000E0AA1" w:rsidRDefault="00F8414F" w:rsidP="00F8414F">
      <w:pPr>
        <w:jc w:val="both"/>
        <w:rPr>
          <w:rFonts w:asciiTheme="majorHAnsi" w:hAnsiTheme="majorHAnsi" w:cstheme="majorHAnsi"/>
          <w:lang w:val="es-ES"/>
        </w:rPr>
      </w:pPr>
    </w:p>
    <w:p w14:paraId="160264E9" w14:textId="51AD4DC8" w:rsidR="00F8414F" w:rsidRPr="00F8414F" w:rsidRDefault="00F8414F" w:rsidP="00F8414F">
      <w:pPr>
        <w:jc w:val="both"/>
        <w:rPr>
          <w:rFonts w:asciiTheme="majorHAnsi" w:hAnsiTheme="majorHAnsi" w:cstheme="majorHAnsi"/>
          <w:lang w:val="es-ES"/>
        </w:rPr>
      </w:pPr>
      <w:r w:rsidRPr="000E0AA1">
        <w:rPr>
          <w:rFonts w:asciiTheme="majorHAnsi" w:hAnsiTheme="majorHAnsi" w:cstheme="majorHAnsi"/>
          <w:lang w:val="es-ES"/>
        </w:rPr>
        <w:t xml:space="preserve">Las violaciones de la salud y los derechos sexuales y reproductivos de la mujer, como la esterilización forzada, el aborto forzado, el embarazo forzado, la tipificación como delito del aborto, la denegación o la postergación del aborto sin riesgo y la atención posterior al aborto, la continuación forzada del embarazo  y el abuso y el maltrato de las mujeres y las niñas que buscan información sobre salud, bienes y servicios sexuales y reproductivos, son formas de violencia por razón de género que, según las circunstancias, pueden constituir tortura o trato cruel, inhumano o degradante26. Recomendación general </w:t>
      </w:r>
      <w:proofErr w:type="spellStart"/>
      <w:r w:rsidRPr="000E0AA1">
        <w:rPr>
          <w:rFonts w:asciiTheme="majorHAnsi" w:hAnsiTheme="majorHAnsi" w:cstheme="majorHAnsi"/>
          <w:lang w:val="es-ES"/>
        </w:rPr>
        <w:t>num</w:t>
      </w:r>
      <w:proofErr w:type="spellEnd"/>
      <w:r w:rsidRPr="000E0AA1">
        <w:rPr>
          <w:rFonts w:asciiTheme="majorHAnsi" w:hAnsiTheme="majorHAnsi" w:cstheme="majorHAnsi"/>
          <w:lang w:val="es-ES"/>
        </w:rPr>
        <w:t xml:space="preserve">. 35 sobre la violencia por razón de género contra la mujer, </w:t>
      </w:r>
      <w:proofErr w:type="spellStart"/>
      <w:r w:rsidRPr="000E0AA1">
        <w:rPr>
          <w:rFonts w:asciiTheme="majorHAnsi" w:hAnsiTheme="majorHAnsi" w:cstheme="majorHAnsi"/>
          <w:lang w:val="es-ES"/>
        </w:rPr>
        <w:t>C</w:t>
      </w:r>
      <w:r>
        <w:rPr>
          <w:rFonts w:asciiTheme="majorHAnsi" w:hAnsiTheme="majorHAnsi" w:cstheme="majorHAnsi"/>
          <w:lang w:val="es-ES"/>
        </w:rPr>
        <w:t>e</w:t>
      </w:r>
      <w:r w:rsidRPr="000E0AA1">
        <w:rPr>
          <w:rFonts w:asciiTheme="majorHAnsi" w:hAnsiTheme="majorHAnsi" w:cstheme="majorHAnsi"/>
          <w:lang w:val="es-ES"/>
        </w:rPr>
        <w:t>daw</w:t>
      </w:r>
      <w:proofErr w:type="spellEnd"/>
      <w:r w:rsidRPr="000E0AA1">
        <w:rPr>
          <w:rFonts w:asciiTheme="majorHAnsi" w:hAnsiTheme="majorHAnsi" w:cstheme="majorHAnsi"/>
          <w:lang w:val="es-ES"/>
        </w:rPr>
        <w:t xml:space="preserve"> 2017 parr18.</w:t>
      </w:r>
    </w:p>
    <w:p w14:paraId="23171359" w14:textId="77777777" w:rsidR="00F8414F" w:rsidRDefault="00F8414F" w:rsidP="00F8414F">
      <w:pPr>
        <w:jc w:val="center"/>
        <w:rPr>
          <w:rFonts w:asciiTheme="majorHAnsi" w:hAnsiTheme="majorHAnsi" w:cstheme="majorHAnsi"/>
          <w:lang w:val="es-ES"/>
        </w:rPr>
      </w:pPr>
    </w:p>
    <w:p w14:paraId="78CD1B42" w14:textId="59A0FC87" w:rsidR="00F8414F" w:rsidRPr="0041692C" w:rsidRDefault="00F8414F" w:rsidP="006E7C9A">
      <w:pPr>
        <w:pStyle w:val="Prrafodelista"/>
        <w:numPr>
          <w:ilvl w:val="0"/>
          <w:numId w:val="4"/>
        </w:numPr>
        <w:jc w:val="center"/>
        <w:rPr>
          <w:rFonts w:asciiTheme="majorHAnsi" w:hAnsiTheme="majorHAnsi" w:cstheme="majorHAnsi"/>
          <w:b/>
          <w:bCs/>
          <w:lang w:val="es-ES"/>
        </w:rPr>
      </w:pPr>
      <w:r w:rsidRPr="0041692C">
        <w:rPr>
          <w:rFonts w:asciiTheme="majorHAnsi" w:hAnsiTheme="majorHAnsi" w:cstheme="majorHAnsi"/>
          <w:b/>
          <w:bCs/>
          <w:lang w:val="es-ES"/>
        </w:rPr>
        <w:t>CONVENCIONES INTERNACIONALES</w:t>
      </w:r>
    </w:p>
    <w:p w14:paraId="41B76EBC" w14:textId="77777777" w:rsidR="00F8414F" w:rsidRPr="00F8414F" w:rsidRDefault="00F8414F" w:rsidP="00F8414F">
      <w:pPr>
        <w:jc w:val="both"/>
        <w:rPr>
          <w:rFonts w:asciiTheme="majorHAnsi" w:hAnsiTheme="majorHAnsi" w:cstheme="majorHAnsi"/>
          <w:lang w:val="es-ES"/>
        </w:rPr>
      </w:pPr>
    </w:p>
    <w:p w14:paraId="78BF7101" w14:textId="77777777" w:rsidR="00F8414F" w:rsidRDefault="00F8414F" w:rsidP="00F8414F">
      <w:pPr>
        <w:jc w:val="both"/>
        <w:rPr>
          <w:rFonts w:asciiTheme="majorHAnsi" w:hAnsiTheme="majorHAnsi" w:cstheme="majorHAnsi"/>
          <w:lang w:val="es-ES"/>
        </w:rPr>
      </w:pPr>
      <w:r>
        <w:rPr>
          <w:rFonts w:asciiTheme="majorHAnsi" w:hAnsiTheme="majorHAnsi" w:cstheme="majorHAnsi"/>
          <w:lang w:val="es-ES"/>
        </w:rPr>
        <w:t>La</w:t>
      </w:r>
      <w:r w:rsidRPr="00F8414F">
        <w:rPr>
          <w:rFonts w:asciiTheme="majorHAnsi" w:hAnsiTheme="majorHAnsi" w:cstheme="majorHAnsi"/>
          <w:lang w:val="es-ES"/>
        </w:rPr>
        <w:t xml:space="preserve"> ONU, a lo largo de su historia, ha acordado distintas Convenciones Internacionales, para promover el avance en la igualdad de las mujeres y la lucha contra la violencia de género. Su importancia reside en los efectos jurídicos vinculantes que despliegan, una vez ratificadas por los Estados Parte. Las dos más importantes en esta materia son: </w:t>
      </w:r>
    </w:p>
    <w:p w14:paraId="54336B7A" w14:textId="77777777" w:rsidR="00F8414F" w:rsidRDefault="00F8414F" w:rsidP="00F8414F">
      <w:pPr>
        <w:jc w:val="both"/>
        <w:rPr>
          <w:rFonts w:asciiTheme="majorHAnsi" w:hAnsiTheme="majorHAnsi" w:cstheme="majorHAnsi"/>
          <w:lang w:val="es-ES"/>
        </w:rPr>
      </w:pPr>
    </w:p>
    <w:p w14:paraId="13DC94A6" w14:textId="103F692B" w:rsidR="00F8414F" w:rsidRPr="00F8414F" w:rsidRDefault="00F8414F" w:rsidP="00F8414F">
      <w:pPr>
        <w:pStyle w:val="Prrafodelista"/>
        <w:numPr>
          <w:ilvl w:val="0"/>
          <w:numId w:val="2"/>
        </w:numPr>
        <w:jc w:val="both"/>
        <w:rPr>
          <w:rFonts w:asciiTheme="majorHAnsi" w:hAnsiTheme="majorHAnsi" w:cstheme="majorHAnsi"/>
          <w:lang w:val="es-ES"/>
        </w:rPr>
      </w:pPr>
      <w:r w:rsidRPr="00F8414F">
        <w:rPr>
          <w:rFonts w:asciiTheme="majorHAnsi" w:hAnsiTheme="majorHAnsi" w:cstheme="majorHAnsi"/>
          <w:b/>
          <w:bCs/>
          <w:lang w:val="es-ES"/>
        </w:rPr>
        <w:t>La Declaración sobre la Eliminación de la Violencia contra la Mujer</w:t>
      </w:r>
      <w:r w:rsidRPr="00F8414F">
        <w:rPr>
          <w:rFonts w:asciiTheme="majorHAnsi" w:hAnsiTheme="majorHAnsi" w:cstheme="majorHAnsi"/>
          <w:lang w:val="es-ES"/>
        </w:rPr>
        <w:t xml:space="preserve"> </w:t>
      </w:r>
    </w:p>
    <w:p w14:paraId="30F1BD25" w14:textId="77777777" w:rsidR="00F8414F" w:rsidRDefault="00F8414F" w:rsidP="00F8414F">
      <w:pPr>
        <w:jc w:val="both"/>
        <w:rPr>
          <w:rFonts w:asciiTheme="majorHAnsi" w:hAnsiTheme="majorHAnsi" w:cstheme="majorHAnsi"/>
          <w:lang w:val="es-ES"/>
        </w:rPr>
      </w:pPr>
      <w:r w:rsidRPr="00F8414F">
        <w:rPr>
          <w:rFonts w:asciiTheme="majorHAnsi" w:hAnsiTheme="majorHAnsi" w:cstheme="majorHAnsi"/>
          <w:lang w:val="es-ES"/>
        </w:rPr>
        <w:t xml:space="preserve">Aprobada por la Asamblea General en su Resolución A/ RES/48/104, de 20 de diciembre de 1993. </w:t>
      </w:r>
    </w:p>
    <w:p w14:paraId="0A318DA0" w14:textId="77777777" w:rsidR="009D4917" w:rsidRDefault="009D4917" w:rsidP="00F8414F">
      <w:pPr>
        <w:jc w:val="both"/>
        <w:rPr>
          <w:rFonts w:asciiTheme="majorHAnsi" w:hAnsiTheme="majorHAnsi" w:cstheme="majorHAnsi"/>
          <w:lang w:val="es-ES"/>
        </w:rPr>
      </w:pPr>
    </w:p>
    <w:p w14:paraId="11633CA3" w14:textId="77777777" w:rsidR="00F8414F" w:rsidRDefault="00F8414F" w:rsidP="00F8414F">
      <w:pPr>
        <w:jc w:val="both"/>
        <w:rPr>
          <w:rFonts w:asciiTheme="majorHAnsi" w:hAnsiTheme="majorHAnsi" w:cstheme="majorHAnsi"/>
          <w:lang w:val="es-ES"/>
        </w:rPr>
      </w:pPr>
      <w:r w:rsidRPr="00F8414F">
        <w:rPr>
          <w:rFonts w:asciiTheme="majorHAnsi" w:hAnsiTheme="majorHAnsi" w:cstheme="majorHAnsi"/>
          <w:lang w:val="es-ES"/>
        </w:rPr>
        <w:t xml:space="preserve">Ya en la Tercera Conferencia Mundial sobre la Mujer, celebrada en Nairobi en 1985, se reconoció que uno de los obstáculos para el logro de la igualdad, el desarrollo y la paz es la violencia que se ejerce sobre las mujeres, por lo que se recomendó el impulso de una serie de medidas que combatieran este tipo de violencia. De esta forma, el 20 de diciembre de 1993 se aprobaba esta Declaración (6). En su preámbulo se afirma que la violencia contra la mujer “constituye una violación de los derechos humanos y libertades fundamentales” y se reconoce también “que la violencia contra la mujer constituye una manifestación de relaciones de poder históricamente desiguales entre el hombre y la mujer, que han conducido a la dominación de la mujer y a la discriminación en su contra por parte del hombre, e impedido el adelanto pleno de la mujer, y que la violencia contra la mujer es uno de los mecanismos sociales fundamentales por los que se fuerza a la </w:t>
      </w:r>
      <w:r w:rsidRPr="00F8414F">
        <w:rPr>
          <w:rFonts w:asciiTheme="majorHAnsi" w:hAnsiTheme="majorHAnsi" w:cstheme="majorHAnsi"/>
          <w:lang w:val="es-ES"/>
        </w:rPr>
        <w:lastRenderedPageBreak/>
        <w:t xml:space="preserve">mujer a una situación de subordinación respecto del hombre”. Reconoce que la violencia contra la mujer “trasciende las diferencias de ingresos, clases sociales y culturas”, aunque algunos grupos de mujeres son particularmente vulnerables como “las mujeres pertenecientes a minorías, indígenas, refugiadas, emigrantes, rurales, indigentes, detenidas o recluidas en instituciones, niñas, mujeres con discapacidad, ancianas y las que están en situaciones de conflicto armado”. </w:t>
      </w:r>
    </w:p>
    <w:p w14:paraId="3223563C" w14:textId="77777777" w:rsidR="00F96F52" w:rsidRDefault="00F96F52" w:rsidP="00F8414F">
      <w:pPr>
        <w:jc w:val="both"/>
        <w:rPr>
          <w:rFonts w:asciiTheme="majorHAnsi" w:hAnsiTheme="majorHAnsi" w:cstheme="majorHAnsi"/>
          <w:lang w:val="es-ES"/>
        </w:rPr>
      </w:pPr>
    </w:p>
    <w:p w14:paraId="2BBC0FE4" w14:textId="77777777" w:rsidR="00F8414F" w:rsidRDefault="00F8414F" w:rsidP="00F8414F">
      <w:pPr>
        <w:jc w:val="both"/>
        <w:rPr>
          <w:rFonts w:asciiTheme="majorHAnsi" w:hAnsiTheme="majorHAnsi" w:cstheme="majorHAnsi"/>
          <w:lang w:val="es-ES"/>
        </w:rPr>
      </w:pPr>
      <w:r w:rsidRPr="00F8414F">
        <w:rPr>
          <w:rFonts w:asciiTheme="majorHAnsi" w:hAnsiTheme="majorHAnsi" w:cstheme="majorHAnsi"/>
          <w:lang w:val="es-ES"/>
        </w:rPr>
        <w:t xml:space="preserve">Como se desprende del texto, este tipo de violencia se produce en todos los ámbitos: en el doméstico (en el seno de la familia), en la (6) El artículo 1º de la Declaración sobre la Eliminación de la Violencia contra la Mujer, define la “violencia contra la mujer” como “todo acto de violencia basado en la pertenencia al sexo femenino que tenga o pueda tener como resultado un daño o sufrimiento físico, sexual o psicológico para la mujer, así como las amenazas de tales actos, la coacción o la privación arbitraria de la libertad, tanto si se producen en la vida pública como en la vida privada”. Defensa pública: garantía de acceso a la justicia 283 comunidad y allá donde es tolerada, o incluso ejercida por el propio Estado. Exige a los Estados que apliquen una política encaminada a eliminarla y enumera formas para lograrlo: </w:t>
      </w:r>
    </w:p>
    <w:p w14:paraId="4EAAFAD8" w14:textId="77777777" w:rsidR="00F96F52" w:rsidRDefault="00F96F52" w:rsidP="00F8414F">
      <w:pPr>
        <w:jc w:val="both"/>
        <w:rPr>
          <w:rFonts w:asciiTheme="majorHAnsi" w:hAnsiTheme="majorHAnsi" w:cstheme="majorHAnsi"/>
          <w:lang w:val="es-ES"/>
        </w:rPr>
      </w:pPr>
    </w:p>
    <w:p w14:paraId="54A78BA1" w14:textId="1823DEA1" w:rsidR="00F8414F" w:rsidRPr="0041692C" w:rsidRDefault="00F8414F" w:rsidP="0041692C">
      <w:pPr>
        <w:pStyle w:val="Prrafodelista"/>
        <w:numPr>
          <w:ilvl w:val="1"/>
          <w:numId w:val="4"/>
        </w:numPr>
        <w:ind w:left="426"/>
        <w:jc w:val="both"/>
        <w:rPr>
          <w:rFonts w:asciiTheme="majorHAnsi" w:hAnsiTheme="majorHAnsi" w:cstheme="majorHAnsi"/>
          <w:lang w:val="es-ES"/>
        </w:rPr>
      </w:pPr>
      <w:r w:rsidRPr="0041692C">
        <w:rPr>
          <w:rFonts w:asciiTheme="majorHAnsi" w:hAnsiTheme="majorHAnsi" w:cstheme="majorHAnsi"/>
          <w:lang w:val="es-ES"/>
        </w:rPr>
        <w:t xml:space="preserve">prevenir, investigar y sancionar los actos de violencia, facilitando el acceso de las mujeres a la Justicia y a un resarcimiento justo y eficaz por el daño padecido; - sanciones penales, civiles, laborales y administrativas; </w:t>
      </w:r>
    </w:p>
    <w:p w14:paraId="52EEFBC4" w14:textId="7B8CF327" w:rsidR="00F8414F" w:rsidRPr="0041692C" w:rsidRDefault="00F8414F" w:rsidP="0041692C">
      <w:pPr>
        <w:pStyle w:val="Prrafodelista"/>
        <w:numPr>
          <w:ilvl w:val="1"/>
          <w:numId w:val="4"/>
        </w:numPr>
        <w:ind w:left="426"/>
        <w:jc w:val="both"/>
        <w:rPr>
          <w:rFonts w:asciiTheme="majorHAnsi" w:hAnsiTheme="majorHAnsi" w:cstheme="majorHAnsi"/>
          <w:lang w:val="es-ES"/>
        </w:rPr>
      </w:pPr>
      <w:r w:rsidRPr="0041692C">
        <w:rPr>
          <w:rFonts w:asciiTheme="majorHAnsi" w:hAnsiTheme="majorHAnsi" w:cstheme="majorHAnsi"/>
          <w:lang w:val="es-ES"/>
        </w:rPr>
        <w:t xml:space="preserve">formación de los funcionarios que los sensibilice respecto de las necesidades de la mujer; </w:t>
      </w:r>
    </w:p>
    <w:p w14:paraId="0EB0AC79" w14:textId="43A6F14F" w:rsidR="00F8414F" w:rsidRPr="0041692C" w:rsidRDefault="00F8414F" w:rsidP="0041692C">
      <w:pPr>
        <w:pStyle w:val="Prrafodelista"/>
        <w:numPr>
          <w:ilvl w:val="1"/>
          <w:numId w:val="4"/>
        </w:numPr>
        <w:ind w:left="426"/>
        <w:jc w:val="both"/>
        <w:rPr>
          <w:rFonts w:asciiTheme="majorHAnsi" w:hAnsiTheme="majorHAnsi" w:cstheme="majorHAnsi"/>
          <w:lang w:val="es-ES"/>
        </w:rPr>
      </w:pPr>
      <w:r w:rsidRPr="0041692C">
        <w:rPr>
          <w:rFonts w:asciiTheme="majorHAnsi" w:hAnsiTheme="majorHAnsi" w:cstheme="majorHAnsi"/>
          <w:lang w:val="es-ES"/>
        </w:rPr>
        <w:t xml:space="preserve">medidas educativas para modificar las pautas socioculturales de comportamiento y los prejuicios y prácticas basadas en la superioridad e inferioridad de cada sexo, y evitar la victimización secundaria de las mujeres (7); </w:t>
      </w:r>
    </w:p>
    <w:p w14:paraId="5836D7BD" w14:textId="397EFD4B" w:rsidR="00F8414F" w:rsidRPr="0041692C" w:rsidRDefault="00F8414F" w:rsidP="0041692C">
      <w:pPr>
        <w:pStyle w:val="Prrafodelista"/>
        <w:numPr>
          <w:ilvl w:val="1"/>
          <w:numId w:val="4"/>
        </w:numPr>
        <w:ind w:left="426"/>
        <w:jc w:val="both"/>
        <w:rPr>
          <w:rFonts w:asciiTheme="majorHAnsi" w:hAnsiTheme="majorHAnsi" w:cstheme="majorHAnsi"/>
          <w:lang w:val="es-ES"/>
        </w:rPr>
      </w:pPr>
      <w:r w:rsidRPr="0041692C">
        <w:rPr>
          <w:rFonts w:asciiTheme="majorHAnsi" w:hAnsiTheme="majorHAnsi" w:cstheme="majorHAnsi"/>
          <w:lang w:val="es-ES"/>
        </w:rPr>
        <w:t xml:space="preserve">ofrecer a las mujeres y a sus hijos asistencia especializada (rehabilitación, ayuda al cuidado y manutención de los niños, tratamiento, asesoramiento, servicios, instalaciones y programas sociales y de salud), medidas para fomentar su seguridad y rehabilitación física y psicológica. </w:t>
      </w:r>
    </w:p>
    <w:p w14:paraId="428B7B73" w14:textId="77777777" w:rsidR="00F8414F" w:rsidRDefault="00F8414F" w:rsidP="00F8414F">
      <w:pPr>
        <w:jc w:val="both"/>
        <w:rPr>
          <w:rFonts w:asciiTheme="majorHAnsi" w:hAnsiTheme="majorHAnsi" w:cstheme="majorHAnsi"/>
          <w:lang w:val="es-ES"/>
        </w:rPr>
      </w:pPr>
    </w:p>
    <w:p w14:paraId="239D6BDD" w14:textId="4AFF6326" w:rsidR="00F8414F" w:rsidRDefault="00F8414F" w:rsidP="00F8414F">
      <w:pPr>
        <w:jc w:val="both"/>
        <w:rPr>
          <w:rFonts w:asciiTheme="majorHAnsi" w:hAnsiTheme="majorHAnsi" w:cstheme="majorHAnsi"/>
          <w:lang w:val="es-ES"/>
        </w:rPr>
      </w:pPr>
      <w:r w:rsidRPr="00F8414F">
        <w:rPr>
          <w:rFonts w:asciiTheme="majorHAnsi" w:hAnsiTheme="majorHAnsi" w:cstheme="majorHAnsi"/>
          <w:lang w:val="es-ES"/>
        </w:rPr>
        <w:t xml:space="preserve">Se debe fomentar la cooperación entre los órganos y organismos de las Naciones Unidas para definir las estrategias de lucha contra la violencia, intercambiar experiencias y financiar los programas relativos a la eliminación de la violencia contra la mujer. </w:t>
      </w:r>
      <w:proofErr w:type="gramStart"/>
      <w:r w:rsidRPr="00F8414F">
        <w:rPr>
          <w:rFonts w:asciiTheme="majorHAnsi" w:hAnsiTheme="majorHAnsi" w:cstheme="majorHAnsi"/>
          <w:lang w:val="es-ES"/>
        </w:rPr>
        <w:t>Asimismo</w:t>
      </w:r>
      <w:proofErr w:type="gramEnd"/>
      <w:r w:rsidRPr="00F8414F">
        <w:rPr>
          <w:rFonts w:asciiTheme="majorHAnsi" w:hAnsiTheme="majorHAnsi" w:cstheme="majorHAnsi"/>
          <w:lang w:val="es-ES"/>
        </w:rPr>
        <w:t xml:space="preserve"> deben incorporar la cuestión de la violencia de género en sus programas, cooperar con organismos no gubernamentales, promover actividades para crear conciencia sobre la cuestión, etc. </w:t>
      </w:r>
    </w:p>
    <w:p w14:paraId="4B8F78F6" w14:textId="77777777" w:rsidR="00F8414F" w:rsidRDefault="00F8414F" w:rsidP="00F8414F">
      <w:pPr>
        <w:jc w:val="both"/>
        <w:rPr>
          <w:rFonts w:asciiTheme="majorHAnsi" w:hAnsiTheme="majorHAnsi" w:cstheme="majorHAnsi"/>
          <w:lang w:val="es-ES"/>
        </w:rPr>
      </w:pPr>
    </w:p>
    <w:p w14:paraId="2D4B9F29" w14:textId="77777777" w:rsidR="0041692C" w:rsidRDefault="0041692C" w:rsidP="00F8414F">
      <w:pPr>
        <w:jc w:val="both"/>
        <w:rPr>
          <w:rFonts w:asciiTheme="majorHAnsi" w:hAnsiTheme="majorHAnsi" w:cstheme="majorHAnsi"/>
          <w:lang w:val="es-ES"/>
        </w:rPr>
      </w:pPr>
    </w:p>
    <w:p w14:paraId="47276ABF" w14:textId="77777777" w:rsidR="0041692C" w:rsidRDefault="0041692C" w:rsidP="00F8414F">
      <w:pPr>
        <w:jc w:val="both"/>
        <w:rPr>
          <w:rFonts w:asciiTheme="majorHAnsi" w:hAnsiTheme="majorHAnsi" w:cstheme="majorHAnsi"/>
          <w:lang w:val="es-ES"/>
        </w:rPr>
      </w:pPr>
    </w:p>
    <w:p w14:paraId="3EDC2B53" w14:textId="77777777" w:rsidR="00F8414F" w:rsidRDefault="00F8414F" w:rsidP="00F8414F">
      <w:pPr>
        <w:jc w:val="both"/>
        <w:rPr>
          <w:rFonts w:asciiTheme="majorHAnsi" w:hAnsiTheme="majorHAnsi" w:cstheme="majorHAnsi"/>
          <w:lang w:val="es-ES"/>
        </w:rPr>
      </w:pPr>
      <w:r w:rsidRPr="00F8414F">
        <w:rPr>
          <w:rFonts w:asciiTheme="majorHAnsi" w:hAnsiTheme="majorHAnsi" w:cstheme="majorHAnsi"/>
          <w:b/>
          <w:bCs/>
          <w:lang w:val="es-ES"/>
        </w:rPr>
        <w:lastRenderedPageBreak/>
        <w:t xml:space="preserve">2 </w:t>
      </w:r>
      <w:proofErr w:type="gramStart"/>
      <w:r w:rsidRPr="00F8414F">
        <w:rPr>
          <w:rFonts w:asciiTheme="majorHAnsi" w:hAnsiTheme="majorHAnsi" w:cstheme="majorHAnsi"/>
          <w:b/>
          <w:bCs/>
          <w:lang w:val="es-ES"/>
        </w:rPr>
        <w:t>Cuarta</w:t>
      </w:r>
      <w:proofErr w:type="gramEnd"/>
      <w:r w:rsidRPr="00F8414F">
        <w:rPr>
          <w:rFonts w:asciiTheme="majorHAnsi" w:hAnsiTheme="majorHAnsi" w:cstheme="majorHAnsi"/>
          <w:b/>
          <w:bCs/>
          <w:lang w:val="es-ES"/>
        </w:rPr>
        <w:t xml:space="preserve"> Conferencia Mundial sobre la Mujer, Declaración y Plan de Acción. Beijing, 1995</w:t>
      </w:r>
      <w:r w:rsidRPr="00F8414F">
        <w:rPr>
          <w:rFonts w:asciiTheme="majorHAnsi" w:hAnsiTheme="majorHAnsi" w:cstheme="majorHAnsi"/>
          <w:lang w:val="es-ES"/>
        </w:rPr>
        <w:t xml:space="preserve"> </w:t>
      </w:r>
    </w:p>
    <w:p w14:paraId="2EDAAB89" w14:textId="77777777" w:rsidR="0041692C" w:rsidRDefault="0041692C" w:rsidP="00F8414F">
      <w:pPr>
        <w:jc w:val="both"/>
        <w:rPr>
          <w:rFonts w:asciiTheme="majorHAnsi" w:hAnsiTheme="majorHAnsi" w:cstheme="majorHAnsi"/>
          <w:lang w:val="es-ES"/>
        </w:rPr>
      </w:pPr>
    </w:p>
    <w:p w14:paraId="6C853BEB" w14:textId="4E36FED2" w:rsidR="00F8414F" w:rsidRDefault="00F8414F" w:rsidP="00F8414F">
      <w:pPr>
        <w:jc w:val="both"/>
        <w:rPr>
          <w:rFonts w:asciiTheme="majorHAnsi" w:hAnsiTheme="majorHAnsi" w:cstheme="majorHAnsi"/>
          <w:lang w:val="es-ES"/>
        </w:rPr>
      </w:pPr>
      <w:r w:rsidRPr="00F8414F">
        <w:rPr>
          <w:rFonts w:asciiTheme="majorHAnsi" w:hAnsiTheme="majorHAnsi" w:cstheme="majorHAnsi"/>
          <w:lang w:val="es-ES"/>
        </w:rPr>
        <w:t xml:space="preserve">Si en la Conferencia de Nairobi de 1985 se apuntaba ya la importancia de la presencia y decisiones de las mujeres en todas las instancias, en Beijing se logra un cambio fundamental: los Gobiernos se comprometían a incluir de manera efectiva una dimensión de género en todas sus instituciones, políticas legislativas, procesos de planificación; y ello requiere una reconstrucción del sistema que tenga en (7) Los docentes de la nueva asignatura de “educación para la ciudadanía y los derechos humanos”, establecida en España por la reciente Ley Orgánica de Educación, no deberán olvidar que las medidas educativas, establecidas ya desde las mismas prácticas de convivencia en la escuela infantil, constituyen un instrumento esencial para conseguir esta positiva modificación de las pautas socioculturales de comportamiento. 284 Montserrat Comas de Argemir cuenta por igual las necesidades de los hombres y las mujeres. Por eso algunos consideran que esta Conferencia supuso el triunfo del “feminismo de Estado” (8). En la Conferencia se reafirma el compromiso de los Gobiernos en la plena implementación de los derechos humanos de las mujeres y niñas, como parte indivisible de los derechos humanos y libertades fundamentales, igualdad de derechos y dignidad humana, y el “empoderamiento de las mujeres”. </w:t>
      </w:r>
    </w:p>
    <w:p w14:paraId="5DFD93B1" w14:textId="77777777" w:rsidR="00F8414F" w:rsidRDefault="00F8414F" w:rsidP="00F8414F">
      <w:pPr>
        <w:jc w:val="both"/>
        <w:rPr>
          <w:rFonts w:asciiTheme="majorHAnsi" w:hAnsiTheme="majorHAnsi" w:cstheme="majorHAnsi"/>
          <w:lang w:val="es-ES"/>
        </w:rPr>
      </w:pPr>
    </w:p>
    <w:p w14:paraId="389C76ED" w14:textId="77777777" w:rsidR="00F8414F" w:rsidRDefault="00F8414F" w:rsidP="00F8414F">
      <w:pPr>
        <w:jc w:val="both"/>
        <w:rPr>
          <w:rFonts w:asciiTheme="majorHAnsi" w:hAnsiTheme="majorHAnsi" w:cstheme="majorHAnsi"/>
          <w:lang w:val="es-ES"/>
        </w:rPr>
      </w:pPr>
      <w:r w:rsidRPr="00F8414F">
        <w:rPr>
          <w:rFonts w:asciiTheme="majorHAnsi" w:hAnsiTheme="majorHAnsi" w:cstheme="majorHAnsi"/>
          <w:lang w:val="es-ES"/>
        </w:rPr>
        <w:t xml:space="preserve">La participación fue un éxito: 17.000 personas en representación de 189 Gobiernos. El Foro de ONGs que se celebró paralelamente contó con la asistencia de 35.000 personas más. Tanto la Declaración como la Plataforma de Acción, fueron aprobadas por unanimidad y se convirtieron en un programa para la potenciación del papel de la mujer, decisivo para el siglo XXI. Los principales objetivos estratégicos acompañados de las respectivas medidas se centraron en: </w:t>
      </w:r>
    </w:p>
    <w:p w14:paraId="002862BE" w14:textId="77777777" w:rsidR="00F8414F" w:rsidRDefault="00F8414F" w:rsidP="00F8414F">
      <w:pPr>
        <w:jc w:val="both"/>
        <w:rPr>
          <w:rFonts w:asciiTheme="majorHAnsi" w:hAnsiTheme="majorHAnsi" w:cstheme="majorHAnsi"/>
          <w:lang w:val="es-ES"/>
        </w:rPr>
      </w:pPr>
    </w:p>
    <w:p w14:paraId="2B1C85A0" w14:textId="6370A583" w:rsidR="00F8414F" w:rsidRPr="0041692C" w:rsidRDefault="00F8414F" w:rsidP="0041692C">
      <w:pPr>
        <w:pStyle w:val="Prrafodelista"/>
        <w:numPr>
          <w:ilvl w:val="1"/>
          <w:numId w:val="4"/>
        </w:numPr>
        <w:ind w:left="284"/>
        <w:jc w:val="both"/>
        <w:rPr>
          <w:rFonts w:asciiTheme="majorHAnsi" w:hAnsiTheme="majorHAnsi" w:cstheme="majorHAnsi"/>
          <w:lang w:val="es-ES"/>
        </w:rPr>
      </w:pPr>
      <w:r w:rsidRPr="0041692C">
        <w:rPr>
          <w:rFonts w:asciiTheme="majorHAnsi" w:hAnsiTheme="majorHAnsi" w:cstheme="majorHAnsi"/>
          <w:lang w:val="es-ES"/>
        </w:rPr>
        <w:t xml:space="preserve">la adopción de medidas integradas para prevenir y eliminar la violencia contra las mujeres; </w:t>
      </w:r>
    </w:p>
    <w:p w14:paraId="109113E2" w14:textId="26F8ACC1" w:rsidR="00F8414F" w:rsidRPr="0041692C" w:rsidRDefault="00F8414F" w:rsidP="0041692C">
      <w:pPr>
        <w:pStyle w:val="Prrafodelista"/>
        <w:numPr>
          <w:ilvl w:val="1"/>
          <w:numId w:val="4"/>
        </w:numPr>
        <w:ind w:left="284"/>
        <w:jc w:val="both"/>
        <w:rPr>
          <w:rFonts w:asciiTheme="majorHAnsi" w:hAnsiTheme="majorHAnsi" w:cstheme="majorHAnsi"/>
          <w:lang w:val="es-ES"/>
        </w:rPr>
      </w:pPr>
      <w:r w:rsidRPr="0041692C">
        <w:rPr>
          <w:rFonts w:asciiTheme="majorHAnsi" w:hAnsiTheme="majorHAnsi" w:cstheme="majorHAnsi"/>
          <w:lang w:val="es-ES"/>
        </w:rPr>
        <w:t xml:space="preserve">estudiar las causas y consecuencias de la violencia y la eficacia de las medidas de prevención; </w:t>
      </w:r>
    </w:p>
    <w:p w14:paraId="2CB99A5F" w14:textId="3A85A6BF" w:rsidR="00F8414F" w:rsidRPr="0041692C" w:rsidRDefault="00F8414F" w:rsidP="0041692C">
      <w:pPr>
        <w:pStyle w:val="Prrafodelista"/>
        <w:numPr>
          <w:ilvl w:val="1"/>
          <w:numId w:val="4"/>
        </w:numPr>
        <w:ind w:left="284"/>
        <w:jc w:val="both"/>
        <w:rPr>
          <w:rFonts w:asciiTheme="majorHAnsi" w:hAnsiTheme="majorHAnsi" w:cstheme="majorHAnsi"/>
          <w:lang w:val="es-ES"/>
        </w:rPr>
      </w:pPr>
      <w:r w:rsidRPr="0041692C">
        <w:rPr>
          <w:rFonts w:asciiTheme="majorHAnsi" w:hAnsiTheme="majorHAnsi" w:cstheme="majorHAnsi"/>
          <w:lang w:val="es-ES"/>
        </w:rPr>
        <w:t xml:space="preserve">eliminar la trata de mujeres y prestar asistencia a las víctimas de la violencia derivada de la prostitución y la trata de mujeres; </w:t>
      </w:r>
    </w:p>
    <w:p w14:paraId="7EBBEEC0" w14:textId="2E9EE953" w:rsidR="00F8414F" w:rsidRPr="0041692C" w:rsidRDefault="00F8414F" w:rsidP="0041692C">
      <w:pPr>
        <w:pStyle w:val="Prrafodelista"/>
        <w:numPr>
          <w:ilvl w:val="1"/>
          <w:numId w:val="4"/>
        </w:numPr>
        <w:ind w:left="284"/>
        <w:jc w:val="both"/>
        <w:rPr>
          <w:rFonts w:asciiTheme="majorHAnsi" w:hAnsiTheme="majorHAnsi" w:cstheme="majorHAnsi"/>
          <w:lang w:val="es-ES"/>
        </w:rPr>
      </w:pPr>
      <w:r w:rsidRPr="0041692C">
        <w:rPr>
          <w:rFonts w:asciiTheme="majorHAnsi" w:hAnsiTheme="majorHAnsi" w:cstheme="majorHAnsi"/>
          <w:lang w:val="es-ES"/>
        </w:rPr>
        <w:t xml:space="preserve">medidas de acción positiva para favorecer la presencia de mujeres en el poder y en la toma de decisiones. </w:t>
      </w:r>
    </w:p>
    <w:p w14:paraId="7DDD1D06" w14:textId="77777777" w:rsidR="00F8414F" w:rsidRDefault="00F8414F" w:rsidP="00F8414F">
      <w:pPr>
        <w:jc w:val="both"/>
        <w:rPr>
          <w:rFonts w:asciiTheme="majorHAnsi" w:hAnsiTheme="majorHAnsi" w:cstheme="majorHAnsi"/>
          <w:lang w:val="es-ES"/>
        </w:rPr>
      </w:pPr>
    </w:p>
    <w:p w14:paraId="3FD99C2C" w14:textId="0AC33536" w:rsidR="00F8414F" w:rsidRPr="00F8414F" w:rsidRDefault="00F8414F" w:rsidP="00F8414F">
      <w:pPr>
        <w:jc w:val="both"/>
        <w:rPr>
          <w:rFonts w:asciiTheme="majorHAnsi" w:hAnsiTheme="majorHAnsi" w:cstheme="majorHAnsi"/>
          <w:lang w:val="es-ES"/>
        </w:rPr>
      </w:pPr>
      <w:r w:rsidRPr="00F8414F">
        <w:rPr>
          <w:rFonts w:asciiTheme="majorHAnsi" w:hAnsiTheme="majorHAnsi" w:cstheme="majorHAnsi"/>
          <w:lang w:val="es-ES"/>
        </w:rPr>
        <w:t xml:space="preserve">La expresión “violencia de género” es gramaticalmente controvertida porque es una palabra exportada del inglés “gender”, que quiere decir sexo. Sin embargo, no cabe obviar que el género no es sólo un término gramatical; es también una construcción o instrumento intelectual de análisis de la realidad. Así es: a diferencia del término sexo, que se refiere únicamente a las diferencias biológicas entre hombre y mujer, el vocablo </w:t>
      </w:r>
      <w:r w:rsidRPr="00F8414F">
        <w:rPr>
          <w:rFonts w:asciiTheme="majorHAnsi" w:hAnsiTheme="majorHAnsi" w:cstheme="majorHAnsi"/>
          <w:lang w:val="es-ES"/>
        </w:rPr>
        <w:lastRenderedPageBreak/>
        <w:t>género sirve de base para mostrar que las desigualdades entre ambos sexos se han construido históricamente como consecuencia de la estructura familiar-patriarcal y no como fruto de la naturaleza biológica de los sexos (9). De esta suerte, las expresiones (8) lousada arochena, José Fernando en “El principio de transversalidad de la dimension de género”. Ministerio de Trabajo y Asuntos Sociales. Madrid, 2008, pág. 10. (9) Vid. Montalbán Huertas, Inmaculada. Perspectiva de Género: criterio de interpretación internacional y constitucional, Centro de Documentacion Judicial. Madrid, 2004, pág. 31. En sentido parecido Alberdi, Inés. Violencia: tolerancia cero. Obra Social Fundacion La Caixa. Barcelona, 2005, págs. 17 y sigtes. Defensa pública: garantía de acceso a la justicia 285 de género y perspectiva de género comienzan a generalizarse tras su aprobación con esta significación en esta Conferencia Mundial.</w:t>
      </w:r>
    </w:p>
    <w:p w14:paraId="00F605BE" w14:textId="77777777" w:rsidR="00F8414F" w:rsidRDefault="00F8414F" w:rsidP="00A82DB1">
      <w:pPr>
        <w:jc w:val="center"/>
        <w:rPr>
          <w:rFonts w:asciiTheme="majorHAnsi" w:hAnsiTheme="majorHAnsi" w:cstheme="majorHAnsi"/>
          <w:b/>
          <w:bCs/>
          <w:lang w:val="es-ES"/>
        </w:rPr>
      </w:pPr>
    </w:p>
    <w:p w14:paraId="5D6F263E" w14:textId="3BE3A930" w:rsidR="00A82DB1" w:rsidRPr="006E7C9A" w:rsidRDefault="00F8414F" w:rsidP="00A82DB1">
      <w:pPr>
        <w:jc w:val="center"/>
        <w:rPr>
          <w:rFonts w:asciiTheme="majorHAnsi" w:hAnsiTheme="majorHAnsi" w:cstheme="majorHAnsi"/>
          <w:lang w:val="es-ES"/>
        </w:rPr>
      </w:pPr>
      <w:r>
        <w:rPr>
          <w:rFonts w:asciiTheme="majorHAnsi" w:hAnsiTheme="majorHAnsi" w:cstheme="majorHAnsi"/>
          <w:b/>
          <w:bCs/>
          <w:lang w:val="es-ES"/>
        </w:rPr>
        <w:t xml:space="preserve">II. </w:t>
      </w:r>
      <w:r w:rsidR="00A82DB1" w:rsidRPr="0041692C">
        <w:rPr>
          <w:rFonts w:asciiTheme="majorHAnsi" w:hAnsiTheme="majorHAnsi" w:cstheme="majorHAnsi"/>
          <w:b/>
          <w:bCs/>
          <w:lang w:val="es-ES"/>
        </w:rPr>
        <w:t>RECOPILACIÓN ESTÁNDARES BÁSICOS EN MATERIA DE VIOLENCIA CONTRA LAS MUJERES</w:t>
      </w:r>
    </w:p>
    <w:p w14:paraId="6FAAC2A8" w14:textId="77777777" w:rsidR="00A82DB1" w:rsidRDefault="00A82DB1" w:rsidP="00A82DB1">
      <w:pPr>
        <w:jc w:val="both"/>
        <w:rPr>
          <w:rFonts w:asciiTheme="majorHAnsi" w:hAnsiTheme="majorHAnsi" w:cstheme="majorHAnsi"/>
          <w:b/>
          <w:bCs/>
        </w:rPr>
      </w:pPr>
    </w:p>
    <w:p w14:paraId="5ECF420A" w14:textId="77777777" w:rsidR="00F96F52" w:rsidRDefault="00A82DB1" w:rsidP="00F96F52">
      <w:pPr>
        <w:jc w:val="both"/>
        <w:rPr>
          <w:rFonts w:asciiTheme="majorHAnsi" w:hAnsiTheme="majorHAnsi" w:cstheme="majorHAnsi"/>
          <w:b/>
          <w:bCs/>
        </w:rPr>
      </w:pPr>
      <w:r w:rsidRPr="00741462">
        <w:rPr>
          <w:rFonts w:asciiTheme="majorHAnsi" w:hAnsiTheme="majorHAnsi" w:cstheme="majorHAnsi"/>
          <w:b/>
          <w:bCs/>
        </w:rPr>
        <w:t>Discriminación</w:t>
      </w:r>
    </w:p>
    <w:p w14:paraId="1A738E13" w14:textId="640CEC39" w:rsidR="00A82DB1" w:rsidRPr="00F96F52" w:rsidRDefault="00A82DB1" w:rsidP="00F96F52">
      <w:pPr>
        <w:jc w:val="both"/>
        <w:rPr>
          <w:rFonts w:asciiTheme="majorHAnsi" w:hAnsiTheme="majorHAnsi" w:cstheme="majorHAnsi"/>
          <w:b/>
          <w:bCs/>
        </w:rPr>
      </w:pPr>
      <w:r w:rsidRPr="00741462">
        <w:rPr>
          <w:rFonts w:asciiTheme="majorHAnsi" w:hAnsiTheme="majorHAnsi" w:cstheme="majorHAnsi"/>
          <w:color w:val="000000"/>
          <w:lang w:val="es-ES"/>
        </w:rPr>
        <w:t xml:space="preserve">Sobre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Corte IDH, Caso </w:t>
      </w:r>
      <w:proofErr w:type="spellStart"/>
      <w:r w:rsidRPr="00741462">
        <w:rPr>
          <w:rFonts w:asciiTheme="majorHAnsi" w:hAnsiTheme="majorHAnsi" w:cstheme="majorHAnsi"/>
          <w:color w:val="000000"/>
          <w:lang w:val="es-ES"/>
        </w:rPr>
        <w:t>Atala</w:t>
      </w:r>
      <w:proofErr w:type="spellEnd"/>
      <w:r w:rsidRPr="00741462">
        <w:rPr>
          <w:rFonts w:asciiTheme="majorHAnsi" w:hAnsiTheme="majorHAnsi" w:cstheme="majorHAnsi"/>
          <w:color w:val="000000"/>
          <w:lang w:val="es-ES"/>
        </w:rPr>
        <w:t xml:space="preserve"> Riffo y niñas vs. Chile, Sentencia de 24 de febrero de 2012 </w:t>
      </w:r>
      <w:proofErr w:type="spellStart"/>
      <w:r w:rsidRPr="00741462">
        <w:rPr>
          <w:rFonts w:asciiTheme="majorHAnsi" w:hAnsiTheme="majorHAnsi" w:cstheme="majorHAnsi"/>
          <w:color w:val="000000"/>
          <w:lang w:val="es-ES"/>
        </w:rPr>
        <w:t>parr</w:t>
      </w:r>
      <w:proofErr w:type="spellEnd"/>
      <w:r w:rsidRPr="00741462">
        <w:rPr>
          <w:rFonts w:asciiTheme="majorHAnsi" w:hAnsiTheme="majorHAnsi" w:cstheme="majorHAnsi"/>
          <w:color w:val="000000"/>
          <w:lang w:val="es-ES"/>
        </w:rPr>
        <w:t xml:space="preserve"> 79</w:t>
      </w:r>
    </w:p>
    <w:p w14:paraId="5E1E1C9B"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rPr>
        <w:t>La discriminación puede estar dirigida contra las mujeres sobre la base de su sexo y género. El género se refiere a las identidades, los atributos y las funciones de las mujeres y los hombres construidos socialmente y el significado cultural impuesto por la sociedad a las diferencias biológicas, que se reproducen constantemente en los sistemas de justicia y sus instituciones. En virtud del párrafo a) del artículo 5 de la Convención, los Estados parte tienen la obligación de exponer y eliminar los obstáculos sociales y culturales subyacentes, incluidos los estereotipos de género, que impiden a las mujeres el ejercicio y la defensa de sus derechos e impiden su acceso a recursos efectivos. RECOMENDACIÓN GENERAL 33, Comité CEDAW, 2015</w:t>
      </w:r>
      <w:r w:rsidRPr="00741462">
        <w:rPr>
          <w:rFonts w:asciiTheme="majorHAnsi" w:hAnsiTheme="majorHAnsi" w:cstheme="majorHAnsi"/>
          <w:lang w:val="es-ES"/>
        </w:rPr>
        <w:t>, parr7.</w:t>
      </w:r>
    </w:p>
    <w:p w14:paraId="443C5EDE" w14:textId="77777777" w:rsidR="00A82DB1" w:rsidRPr="00741462" w:rsidRDefault="00A82DB1" w:rsidP="00A82DB1">
      <w:pPr>
        <w:jc w:val="both"/>
        <w:rPr>
          <w:rFonts w:asciiTheme="majorHAnsi" w:hAnsiTheme="majorHAnsi" w:cstheme="majorHAnsi"/>
        </w:rPr>
      </w:pPr>
    </w:p>
    <w:p w14:paraId="5B104E74"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rPr>
        <w:t xml:space="preserve">Los estereotipos y los prejuicios de género en el sistema judicial tienen consecuencias de gran alcance para el pleno disfrute de los derechos humanos de las mujeres. Pueden impedir el acceso a la justicia en todas las esferas de la ley y pueden afectar particularmente a las mujeres víctimas y supervivientes de la violencia. Los estereotipos distorsionan las percepciones y dan lugar a decisiones basadas en creencias preconcebidas y mitos, en lugar de hechos. Con frecuencia, los jueces adoptan normas rígidas sobre lo que consideran un comportamiento apropiado de la mujer y castigan a </w:t>
      </w:r>
      <w:r w:rsidRPr="00741462">
        <w:rPr>
          <w:rFonts w:asciiTheme="majorHAnsi" w:hAnsiTheme="majorHAnsi" w:cstheme="majorHAnsi"/>
        </w:rPr>
        <w:lastRenderedPageBreak/>
        <w:t>las que no se ajustan a esos estereotipos. El establecimiento de estereotipos afecta también a la credibilidad de las declaraciones, los argumentos y los testimonios de las mujeres, como partes y como testigos. Esos estereotipos pueden hacer que los jueces interpreten erróneamente las leyes o las apliquen en forma defectuosa. Esto tiene consecuencias de gran alcance, por ejemplo, en el derecho penal, ya que dan por resultado que los perpetradores no sean considerados jurídicamente responsables de las violaciones de los derechos de la mujer, manteniendo de esta forma una cultura de impunidad. En todas las esferas de la ley, los estereotipos comprometen la imparcialidad y la integridad del sistema de justicia, que a su vez puede dar lugar a la denegación de justicia, incluida la revictimización de las denunciantes. RECOMENDACIÓN GENERAL 33, Comité CEDAW, 2015</w:t>
      </w:r>
      <w:r w:rsidRPr="00741462">
        <w:rPr>
          <w:rFonts w:asciiTheme="majorHAnsi" w:hAnsiTheme="majorHAnsi" w:cstheme="majorHAnsi"/>
          <w:lang w:val="es-ES"/>
        </w:rPr>
        <w:t xml:space="preserve"> parr26.</w:t>
      </w:r>
    </w:p>
    <w:p w14:paraId="1B9E8FE2" w14:textId="77777777" w:rsidR="00A82DB1" w:rsidRPr="00741462" w:rsidRDefault="00A82DB1" w:rsidP="00A82DB1">
      <w:pPr>
        <w:jc w:val="both"/>
        <w:rPr>
          <w:rFonts w:asciiTheme="majorHAnsi" w:hAnsiTheme="majorHAnsi" w:cstheme="majorHAnsi"/>
        </w:rPr>
      </w:pPr>
    </w:p>
    <w:p w14:paraId="2D029F7A"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rPr>
        <w:t>Los jueces, magistrados y árbitros no son los únicos agentes del sistema de justicia que aplican, refuerzan y perpetúan los estereotipos. Los fiscales, los encargados de hacer cumplir la ley y otros agentes suelen permitir que los estereotipos influyan en las investigaciones y los juicios, especialmente en casos de violencia basados en el género, y dejar que los estereotipos socaven las denuncias de 15-13094 14/29 CEDAW/C/GC/33 las víctimas y los supervivientes y, al mismo tiempo, apoyan las defensas presentadas por el supuesto perpetrador. Por consiguiente, los estereotipos están presentes en todas las fases de la investigación y del juicio, y por último influyen en la sentencia. 28. Las mujeres tienen que poder confiar en un sistema judicial libre de mitos y estereotipos y en una judicatura cuya imparcialidad no se vea comprometida por esos supuestos sesgados. La eliminación de los estereotipos judiciales en los sistemas de justicia es una medida esencial para asegurar la igualdad y la justicia para las víctimas y los supervivientes.</w:t>
      </w:r>
      <w:r w:rsidRPr="00741462">
        <w:rPr>
          <w:rFonts w:asciiTheme="majorHAnsi" w:hAnsiTheme="majorHAnsi" w:cstheme="majorHAnsi"/>
          <w:lang w:val="es-ES"/>
        </w:rPr>
        <w:t xml:space="preserve"> </w:t>
      </w:r>
      <w:r w:rsidRPr="00741462">
        <w:rPr>
          <w:rFonts w:asciiTheme="majorHAnsi" w:hAnsiTheme="majorHAnsi" w:cstheme="majorHAnsi"/>
        </w:rPr>
        <w:t>RECOMENDACIÓN GENERAL 33, Comité CEDAW, 2015</w:t>
      </w:r>
      <w:r w:rsidRPr="00741462">
        <w:rPr>
          <w:rFonts w:asciiTheme="majorHAnsi" w:hAnsiTheme="majorHAnsi" w:cstheme="majorHAnsi"/>
          <w:lang w:val="es-ES"/>
        </w:rPr>
        <w:t xml:space="preserve"> parr27.</w:t>
      </w:r>
    </w:p>
    <w:p w14:paraId="58ACE502" w14:textId="77777777" w:rsidR="00A82DB1" w:rsidRPr="00741462" w:rsidRDefault="00A82DB1" w:rsidP="00A82DB1">
      <w:pPr>
        <w:jc w:val="both"/>
        <w:rPr>
          <w:rFonts w:asciiTheme="majorHAnsi" w:hAnsiTheme="majorHAnsi" w:cstheme="majorHAnsi"/>
          <w:lang w:val="es-ES"/>
        </w:rPr>
      </w:pPr>
    </w:p>
    <w:p w14:paraId="7BDA67D2"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lang w:val="es-ES"/>
        </w:rPr>
        <w:t>La CIDH observa que la investigación de casos de violencia contra las mujeres se ve afectada negativamente por una diversidad de factores.  En primer lugar, se suscitan retrasos injustificados por parte de las instancias encargadas de efectuar la investigación para llevar a cabo las diligencias necesarias, debido a una percepción de estos casos como no prioritarios.  La CIDH ha constatado la falta de investigación de los hechos denunciados producto de la influencia de patrones socioculturales discriminatorios que descalifican a las víctimas y contribuyen a la percepción de estos delitos como no prioritarios Acceso a la Justicia para las mujeres víctimas de violencia en las américas párr. 127.</w:t>
      </w:r>
    </w:p>
    <w:p w14:paraId="04CDEB4A" w14:textId="77777777" w:rsidR="00A82DB1" w:rsidRPr="00741462" w:rsidRDefault="00A82DB1" w:rsidP="00A82DB1">
      <w:pPr>
        <w:jc w:val="both"/>
        <w:rPr>
          <w:rFonts w:asciiTheme="majorHAnsi" w:hAnsiTheme="majorHAnsi" w:cstheme="majorHAnsi"/>
        </w:rPr>
      </w:pPr>
    </w:p>
    <w:p w14:paraId="6AC81D11"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rPr>
        <w:t>[E]l Estado parte incumplió su obligación de adoptar todas las medidas apropiadas para modificar los patrones socioculturales de conducta de hombres y mujeres, con miras a lograr la eliminación de los prejuicios y las prácticas consuetudinarias y de cualquier otra índole que estén basados en la idea de la inferioridad o superioridad de cualquiera de los sexos o en la atribución de papeles estereotipados al hombre y a la mujer.</w:t>
      </w:r>
      <w:r>
        <w:rPr>
          <w:rFonts w:asciiTheme="majorHAnsi" w:hAnsiTheme="majorHAnsi" w:cstheme="majorHAnsi"/>
          <w:lang w:val="es-ES"/>
        </w:rPr>
        <w:t xml:space="preserve"> </w:t>
      </w:r>
      <w:r w:rsidRPr="00741462">
        <w:rPr>
          <w:rFonts w:asciiTheme="majorHAnsi" w:hAnsiTheme="majorHAnsi" w:cstheme="majorHAnsi"/>
        </w:rPr>
        <w:t>Comité CEDAW, Caso O.G. vs. Rusia, Decisión de 6 de noviembre de 2017</w:t>
      </w:r>
      <w:r w:rsidRPr="00741462">
        <w:rPr>
          <w:rFonts w:asciiTheme="majorHAnsi" w:hAnsiTheme="majorHAnsi" w:cstheme="majorHAnsi"/>
          <w:lang w:val="es-ES"/>
        </w:rPr>
        <w:t xml:space="preserve"> </w:t>
      </w:r>
      <w:proofErr w:type="spellStart"/>
      <w:r w:rsidRPr="00741462">
        <w:rPr>
          <w:rFonts w:asciiTheme="majorHAnsi" w:hAnsiTheme="majorHAnsi" w:cstheme="majorHAnsi"/>
          <w:lang w:val="es-ES"/>
        </w:rPr>
        <w:t>parr</w:t>
      </w:r>
      <w:proofErr w:type="spellEnd"/>
      <w:r w:rsidRPr="00741462">
        <w:rPr>
          <w:rFonts w:asciiTheme="majorHAnsi" w:hAnsiTheme="majorHAnsi" w:cstheme="majorHAnsi"/>
          <w:lang w:val="es-ES"/>
        </w:rPr>
        <w:t xml:space="preserve"> 7.8.</w:t>
      </w:r>
    </w:p>
    <w:p w14:paraId="1A10154E" w14:textId="77777777" w:rsidR="00A82DB1" w:rsidRPr="00741462" w:rsidRDefault="00A82DB1" w:rsidP="00A82DB1">
      <w:pPr>
        <w:jc w:val="both"/>
        <w:rPr>
          <w:rFonts w:asciiTheme="majorHAnsi" w:hAnsiTheme="majorHAnsi" w:cstheme="majorHAnsi"/>
          <w:lang w:val="es-ES"/>
        </w:rPr>
      </w:pPr>
    </w:p>
    <w:p w14:paraId="760E1C09"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lang w:val="es-ES"/>
        </w:rPr>
        <w:t xml:space="preserve">En similar forma, el Tribunal considera que el estereotipo de género se refiere a una pre-concepción de atributos o características poseídas o papeles que son o deberían ser ejecutados por hombres y mujeres respectivamente. Teniendo en cuenta las manifestaciones efectuadas por el Estado (supra párr. 398), es posible asociar la subordinación de la mujer a prácticas basadas en estereotipos de género socialmente dominantes y socialmente persistentes, condiciones que se agravan cuando los estereotipos se reflejan, implícita o explícitamente, en políticas y prácticas, particularmente en el razonamiento y el lenguaje de las autoridades de policía judicial, como ocurrió en el presente caso. La creación y uso de estereotipos se convierte en una de las causas y consecuencias de la violencia de género en contra de la mujer. CASO GONZÁLEZ Y OTRAS (“CAMPO ALGODONERO”) VS. MÉXICO 2009 párr. 401. </w:t>
      </w:r>
    </w:p>
    <w:p w14:paraId="16568925" w14:textId="77777777" w:rsidR="00A82DB1" w:rsidRDefault="00A82DB1" w:rsidP="00A82DB1">
      <w:pPr>
        <w:jc w:val="both"/>
        <w:rPr>
          <w:rFonts w:asciiTheme="majorHAnsi" w:hAnsiTheme="majorHAnsi" w:cstheme="majorHAnsi"/>
        </w:rPr>
      </w:pPr>
    </w:p>
    <w:p w14:paraId="10D81E4C" w14:textId="77777777" w:rsidR="00A82DB1" w:rsidRPr="00CE332A" w:rsidRDefault="00A82DB1" w:rsidP="00A82DB1">
      <w:pPr>
        <w:jc w:val="both"/>
        <w:rPr>
          <w:rFonts w:asciiTheme="majorHAnsi" w:hAnsiTheme="majorHAnsi" w:cstheme="majorHAnsi"/>
        </w:rPr>
      </w:pPr>
      <w:r w:rsidRPr="00741462">
        <w:rPr>
          <w:rFonts w:asciiTheme="majorHAnsi" w:hAnsiTheme="majorHAnsi" w:cstheme="majorHAnsi"/>
          <w:b/>
          <w:bCs/>
          <w:lang w:val="es-ES"/>
        </w:rPr>
        <w:t>Interseccionalidad</w:t>
      </w:r>
    </w:p>
    <w:p w14:paraId="2E7AB8E6"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rPr>
        <w:t>La discriminación contra la mujer suele estar íntimamente vinculada con la discriminación por otros motivos como la raza, el color, el idioma, la religión, la opinión política o de otra índole, el origen nacional o social, la posición económica, nacimiento o cualquier otra condición social. Los Estados Partes deberán tener en cuenta la forma concreta en que algunos casos de discriminación por otros motivos afectan en particular a la mujer y adoptar medidas para contrarrestar esos efectos.</w:t>
      </w:r>
      <w:r w:rsidRPr="00741462">
        <w:rPr>
          <w:rFonts w:asciiTheme="majorHAnsi" w:hAnsiTheme="majorHAnsi" w:cstheme="majorHAnsi"/>
          <w:lang w:val="es-ES"/>
        </w:rPr>
        <w:t xml:space="preserve"> </w:t>
      </w:r>
      <w:r w:rsidRPr="00741462">
        <w:rPr>
          <w:rFonts w:asciiTheme="majorHAnsi" w:hAnsiTheme="majorHAnsi" w:cstheme="majorHAnsi"/>
        </w:rPr>
        <w:t>Observación General 28 sobre la igualdad de derechos entre hombres y mujeres, Comité DH, 30.</w:t>
      </w:r>
    </w:p>
    <w:p w14:paraId="35142E91" w14:textId="77777777" w:rsidR="00A82DB1" w:rsidRPr="00741462" w:rsidRDefault="00A82DB1" w:rsidP="00A82DB1">
      <w:pPr>
        <w:jc w:val="both"/>
        <w:rPr>
          <w:rFonts w:asciiTheme="majorHAnsi" w:hAnsiTheme="majorHAnsi" w:cstheme="majorHAnsi"/>
        </w:rPr>
      </w:pPr>
    </w:p>
    <w:p w14:paraId="624B3070"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rPr>
        <w:t xml:space="preserve">La interseccionalidad es un concepto básico para comprender el alcance de las obligaciones generales de los Estados partes en virtud del artículo 2. La discriminación de la mujer por motivos de sexo y género está unida de manera indivisible a otros factores que afectan a la mujer, como la raza, el origen étnico, la religión o las creencias, la salud, el estatus, la edad, la clase, la casta, la orientación sexual y la identidad de género. La discriminación por motivos de sexo o género puede afectar a las mujeres de algunos grupos en diferente medida o forma que a los hombres. Los Estados partes deben reconocer y prohibir en sus instrumentos jurídicos estas formas entrecruzadas de discriminación y su impacto negativo combinado en las mujeres afectadas. También deben aprobar y poner en práctica políticas y programas para eliminar estas situaciones y, en particular, cuando corresponda, adoptar medidas especiales de carácter temporal, de conformidad con el párrafo 1 del artículo 4 de la Convención y la Recomendación general Nº 25. Observación General 28 sobre la igualdad de derechos entre hombres y mujeres, Comité DH, </w:t>
      </w:r>
      <w:r w:rsidRPr="00741462">
        <w:rPr>
          <w:rFonts w:asciiTheme="majorHAnsi" w:hAnsiTheme="majorHAnsi" w:cstheme="majorHAnsi"/>
          <w:lang w:val="es-ES"/>
        </w:rPr>
        <w:t>18.</w:t>
      </w:r>
    </w:p>
    <w:p w14:paraId="798E28A1" w14:textId="77777777" w:rsidR="00A82DB1" w:rsidRPr="00741462" w:rsidRDefault="00A82DB1" w:rsidP="00A82DB1">
      <w:pPr>
        <w:jc w:val="both"/>
        <w:rPr>
          <w:rFonts w:asciiTheme="majorHAnsi" w:hAnsiTheme="majorHAnsi" w:cstheme="majorHAnsi"/>
          <w:lang w:val="es-ES"/>
        </w:rPr>
      </w:pPr>
    </w:p>
    <w:p w14:paraId="5DB99090" w14:textId="77777777" w:rsidR="00A82DB1" w:rsidRPr="00741462" w:rsidRDefault="00A82DB1" w:rsidP="00A82DB1">
      <w:pPr>
        <w:jc w:val="both"/>
        <w:rPr>
          <w:rFonts w:asciiTheme="majorHAnsi" w:hAnsiTheme="majorHAnsi" w:cstheme="majorHAnsi"/>
          <w:b/>
          <w:bCs/>
          <w:lang w:val="es-ES"/>
        </w:rPr>
      </w:pPr>
      <w:r w:rsidRPr="00741462">
        <w:rPr>
          <w:rFonts w:asciiTheme="majorHAnsi" w:hAnsiTheme="majorHAnsi" w:cstheme="majorHAnsi"/>
          <w:b/>
          <w:bCs/>
          <w:lang w:val="es-ES"/>
        </w:rPr>
        <w:t>Política y presupuesto</w:t>
      </w:r>
    </w:p>
    <w:p w14:paraId="1AA55BED" w14:textId="77777777" w:rsidR="00A82DB1" w:rsidRPr="00741462" w:rsidRDefault="00A82DB1" w:rsidP="00A82DB1">
      <w:pPr>
        <w:jc w:val="both"/>
        <w:rPr>
          <w:rFonts w:asciiTheme="majorHAnsi" w:hAnsiTheme="majorHAnsi" w:cstheme="majorHAnsi"/>
        </w:rPr>
      </w:pPr>
      <w:r w:rsidRPr="00741462">
        <w:rPr>
          <w:rFonts w:asciiTheme="majorHAnsi" w:hAnsiTheme="majorHAnsi" w:cstheme="majorHAnsi"/>
        </w:rPr>
        <w:t xml:space="preserve">La política deberá ser amplia porque debería aplicarse a todas las esferas de la vida, incluidas aquellas que no se mencionan expresamente en el texto de la Convención. Deberá aplicarse a las esferas económicas pública y privada, al igual que al ámbito </w:t>
      </w:r>
      <w:r w:rsidRPr="00741462">
        <w:rPr>
          <w:rFonts w:asciiTheme="majorHAnsi" w:hAnsiTheme="majorHAnsi" w:cstheme="majorHAnsi"/>
        </w:rPr>
        <w:lastRenderedPageBreak/>
        <w:t>doméstico, y asegurar que todos los poderes del Estado (ejecutivo, legislativo y judicial) y todos los niveles del Gobierno asuman sus responsabilidades respectivas en cuanto a la aplicación. Debería incorporar toda la gama de medidas apropiadas y necesarias para las circunstancias particulares del Estado parte. RECOMENDACIÓN GENERAL 33, Comité CEDAW, 2015</w:t>
      </w:r>
    </w:p>
    <w:p w14:paraId="54C457A8" w14:textId="77777777" w:rsidR="00A82DB1" w:rsidRPr="00741462" w:rsidRDefault="00A82DB1" w:rsidP="00A82DB1">
      <w:pPr>
        <w:jc w:val="both"/>
        <w:rPr>
          <w:rFonts w:asciiTheme="majorHAnsi" w:hAnsiTheme="majorHAnsi" w:cstheme="majorHAnsi"/>
        </w:rPr>
      </w:pPr>
    </w:p>
    <w:p w14:paraId="0B63A997"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rPr>
        <w:t>La política deberá estar orientada a la acción y los resultados, en el sentido de que debería establecer metas, indicadores y plazos, asegurar que todos los actores pertinentes cuenten con los recursos adecuados y puedan desempeñar el papel que les corresponde para alcanzar las metas y los objetivos convenidos. Para ello, la política debe estar vinculada a los procesos generales de presupuestación gubernamentales con el fin de garantizar que todos los aspectos de la política estén adecuadamente financiados. Debería prever mecanismos para reunir datos pertinentes desglosados por sexo, permitir el seguimiento efectivo, facilitar la evaluación permanente y posibilitar la revisión o complementación de las medidas vigentes y la determinación de toda nueva medida que pueda ser apropiada. Además, la política deberá asegurar la existencia de órganos fuertes y especializados (un mecanismo nacional para la mujer) en el poder ejecutivo del Estado que tomen iniciativas, coordinen y supervisen la preparación y aplicación de las leyes, las políticas y los programas necesarios para cumplir las obligaciones del Estado parte en virtud de la Convención. Estas instituciones deberían tener competencia para brindar asesoramiento y presentar análisis directamente a los niveles más altos del Gobierno. La política también debería asegurar que se establezcan instituciones de seguimiento independientes, por ejemplo institutos nacionales de derechos humanos o comisiones independientes para la mujer, o que los institutos nacionales existentes reciban el mandato de promover y proteger los derechos garantizados en la Convención. La política deberá propiciar la participación del sector privado, incluidas las empresas, los medios de comunicación, las organizaciones, los grupos comunitarios y los particulares, en la adopción de medidas que ayuden a alcanzar los objetivos de la Convención en la esfera económica privada. RECOMENDACIÓN GENERAL 33, Comité CEDAW, 2015</w:t>
      </w:r>
      <w:r w:rsidRPr="00741462">
        <w:rPr>
          <w:rFonts w:asciiTheme="majorHAnsi" w:hAnsiTheme="majorHAnsi" w:cstheme="majorHAnsi"/>
          <w:lang w:val="es-ES"/>
        </w:rPr>
        <w:t>, par 28.</w:t>
      </w:r>
    </w:p>
    <w:p w14:paraId="096DCC5E" w14:textId="77777777" w:rsidR="00A82DB1" w:rsidRPr="00741462" w:rsidRDefault="00A82DB1" w:rsidP="00A82DB1">
      <w:pPr>
        <w:jc w:val="both"/>
        <w:rPr>
          <w:rFonts w:asciiTheme="majorHAnsi" w:hAnsiTheme="majorHAnsi" w:cstheme="majorHAnsi"/>
          <w:lang w:val="es-ES"/>
        </w:rPr>
      </w:pPr>
    </w:p>
    <w:p w14:paraId="5445E2B3" w14:textId="77777777" w:rsidR="00A82DB1" w:rsidRDefault="00A82DB1" w:rsidP="00A82DB1">
      <w:pPr>
        <w:jc w:val="both"/>
        <w:rPr>
          <w:rFonts w:asciiTheme="majorHAnsi" w:hAnsiTheme="majorHAnsi" w:cstheme="majorHAnsi"/>
          <w:lang w:val="es-ES"/>
        </w:rPr>
      </w:pPr>
      <w:r w:rsidRPr="00741462">
        <w:rPr>
          <w:rFonts w:asciiTheme="majorHAnsi" w:hAnsiTheme="majorHAnsi" w:cstheme="majorHAnsi"/>
        </w:rPr>
        <w:t>La expresión "sin dilaciones" deja en claro que la obligación de los Estados parte de seguir sus políticas, por todos los medios adecuados, tiene carácter inmediato. Esta expresión es incondicional y no admite ninguna demora ni un enfoque gradual voluntario en el cumplimiento de las obligaciones asumidas por los Estados al ratificar la Convención o adherirse a ella. De esto se desprende que las demoras no se pueden justificar por ningún motivo, ya sea político, social, cultural, religioso, económico o de recursos ni por otras consideraciones o carencias de un Estado. Cuando un Estado parte carezca de los recursos o necesite conocimientos técnicos o de otro tipo para facilitar el cumplimiento de sus obligaciones en virtud de la Convención, podrá solicitar la cooperación internacional para superar esas dificultades.   RECOMENDACIÓN GENERAL 33, Comité CEDAW, 2015</w:t>
      </w:r>
      <w:r w:rsidRPr="00741462">
        <w:rPr>
          <w:rFonts w:asciiTheme="majorHAnsi" w:hAnsiTheme="majorHAnsi" w:cstheme="majorHAnsi"/>
          <w:lang w:val="es-ES"/>
        </w:rPr>
        <w:t xml:space="preserve"> parr29.</w:t>
      </w:r>
    </w:p>
    <w:p w14:paraId="1816E1D8" w14:textId="77777777" w:rsidR="00A82DB1" w:rsidRDefault="00A82DB1" w:rsidP="00A82DB1">
      <w:pPr>
        <w:jc w:val="both"/>
        <w:rPr>
          <w:rFonts w:asciiTheme="majorHAnsi" w:hAnsiTheme="majorHAnsi" w:cstheme="majorHAnsi"/>
          <w:lang w:val="es-ES"/>
        </w:rPr>
      </w:pPr>
    </w:p>
    <w:p w14:paraId="40E2D5C3" w14:textId="77777777" w:rsidR="00A82DB1" w:rsidRDefault="00A82DB1" w:rsidP="00A82DB1">
      <w:pPr>
        <w:jc w:val="both"/>
        <w:rPr>
          <w:rFonts w:asciiTheme="majorHAnsi" w:hAnsiTheme="majorHAnsi" w:cstheme="majorHAnsi"/>
          <w:lang w:val="es-ES"/>
        </w:rPr>
      </w:pPr>
      <w:r w:rsidRPr="00691EA5">
        <w:rPr>
          <w:rFonts w:asciiTheme="majorHAnsi" w:hAnsiTheme="majorHAnsi" w:cstheme="majorHAnsi"/>
          <w:lang w:val="es-ES"/>
        </w:rPr>
        <w:t xml:space="preserve">El Comité también recomienda que los Estados partes adopten las siguientes medidas en las esferas de la prevención, la protección, el enjuiciamiento y el castigo, la reparación, la recopilación y supervisión de los datos y la cooperación internacional a fin de acelerar la eliminación de la violencia por razón de género contra la mujer. Todas las medidas deberían aplicarse con un enfoque centrado en la víctima o superviviente, reconociendo a las mujeres como titulares de derechos y promoviendo su capacidad para actuar y su autonomía, en particular la evolución de la capacidad de las niñas, desde la infancia hasta la adolescencia. Además, las medidas deberían concebirse y aplicarse con la participación de la mujer, teniendo en cuenta la situación particular de las mujeres afectadas por las formas interrelacionadas de discriminación. Recomendación general </w:t>
      </w:r>
      <w:proofErr w:type="spellStart"/>
      <w:r w:rsidRPr="00691EA5">
        <w:rPr>
          <w:rFonts w:asciiTheme="majorHAnsi" w:hAnsiTheme="majorHAnsi" w:cstheme="majorHAnsi"/>
          <w:lang w:val="es-ES"/>
        </w:rPr>
        <w:t>num</w:t>
      </w:r>
      <w:proofErr w:type="spellEnd"/>
      <w:r w:rsidRPr="00691EA5">
        <w:rPr>
          <w:rFonts w:asciiTheme="majorHAnsi" w:hAnsiTheme="majorHAnsi" w:cstheme="majorHAnsi"/>
          <w:lang w:val="es-ES"/>
        </w:rPr>
        <w:t xml:space="preserve">. 35 sobre la </w:t>
      </w:r>
      <w:proofErr w:type="gramStart"/>
      <w:r w:rsidRPr="00691EA5">
        <w:rPr>
          <w:rFonts w:asciiTheme="majorHAnsi" w:hAnsiTheme="majorHAnsi" w:cstheme="majorHAnsi"/>
          <w:lang w:val="es-ES"/>
        </w:rPr>
        <w:t>violencia  por</w:t>
      </w:r>
      <w:proofErr w:type="gramEnd"/>
      <w:r w:rsidRPr="00691EA5">
        <w:rPr>
          <w:rFonts w:asciiTheme="majorHAnsi" w:hAnsiTheme="majorHAnsi" w:cstheme="majorHAnsi"/>
          <w:lang w:val="es-ES"/>
        </w:rPr>
        <w:t xml:space="preserve"> razón de género contra la mujer, </w:t>
      </w:r>
      <w:proofErr w:type="spellStart"/>
      <w:r w:rsidRPr="00691EA5">
        <w:rPr>
          <w:rFonts w:asciiTheme="majorHAnsi" w:hAnsiTheme="majorHAnsi" w:cstheme="majorHAnsi"/>
          <w:lang w:val="es-ES"/>
        </w:rPr>
        <w:t>Cdaw</w:t>
      </w:r>
      <w:proofErr w:type="spellEnd"/>
      <w:r w:rsidRPr="00691EA5">
        <w:rPr>
          <w:rFonts w:asciiTheme="majorHAnsi" w:hAnsiTheme="majorHAnsi" w:cstheme="majorHAnsi"/>
          <w:lang w:val="es-ES"/>
        </w:rPr>
        <w:t xml:space="preserve"> 2017 </w:t>
      </w:r>
      <w:proofErr w:type="spellStart"/>
      <w:r w:rsidRPr="00691EA5">
        <w:rPr>
          <w:rFonts w:asciiTheme="majorHAnsi" w:hAnsiTheme="majorHAnsi" w:cstheme="majorHAnsi"/>
          <w:lang w:val="es-ES"/>
        </w:rPr>
        <w:t>parr</w:t>
      </w:r>
      <w:proofErr w:type="spellEnd"/>
      <w:r w:rsidRPr="00691EA5">
        <w:rPr>
          <w:rFonts w:asciiTheme="majorHAnsi" w:hAnsiTheme="majorHAnsi" w:cstheme="majorHAnsi"/>
          <w:lang w:val="es-ES"/>
        </w:rPr>
        <w:t xml:space="preserve"> 28</w:t>
      </w:r>
    </w:p>
    <w:p w14:paraId="592F7FD1" w14:textId="77777777" w:rsidR="00A82DB1" w:rsidRDefault="00A82DB1" w:rsidP="00A82DB1">
      <w:pPr>
        <w:jc w:val="both"/>
        <w:rPr>
          <w:rFonts w:asciiTheme="majorHAnsi" w:hAnsiTheme="majorHAnsi" w:cstheme="majorHAnsi"/>
          <w:lang w:val="es-ES"/>
        </w:rPr>
      </w:pPr>
    </w:p>
    <w:p w14:paraId="0E4756EF" w14:textId="77777777" w:rsidR="00A82DB1" w:rsidRPr="00741462" w:rsidRDefault="00A82DB1" w:rsidP="00A82DB1">
      <w:pPr>
        <w:jc w:val="both"/>
        <w:rPr>
          <w:rFonts w:asciiTheme="majorHAnsi" w:hAnsiTheme="majorHAnsi" w:cstheme="majorHAnsi"/>
          <w:b/>
          <w:bCs/>
          <w:lang w:val="es-ES"/>
        </w:rPr>
      </w:pPr>
      <w:r w:rsidRPr="00741462">
        <w:rPr>
          <w:rFonts w:asciiTheme="majorHAnsi" w:hAnsiTheme="majorHAnsi" w:cstheme="majorHAnsi"/>
          <w:b/>
          <w:bCs/>
          <w:lang w:val="es-ES"/>
        </w:rPr>
        <w:t xml:space="preserve">Responsabilidad Estatal </w:t>
      </w:r>
    </w:p>
    <w:p w14:paraId="3D2F2ED9" w14:textId="502552B9" w:rsidR="00A82DB1" w:rsidRPr="00741462" w:rsidRDefault="00A82DB1" w:rsidP="00A82DB1">
      <w:pPr>
        <w:jc w:val="both"/>
        <w:rPr>
          <w:rFonts w:asciiTheme="majorHAnsi" w:hAnsiTheme="majorHAnsi" w:cstheme="majorHAnsi"/>
        </w:rPr>
      </w:pPr>
      <w:r w:rsidRPr="00741462">
        <w:rPr>
          <w:rFonts w:asciiTheme="majorHAnsi" w:hAnsiTheme="majorHAnsi" w:cstheme="majorHAnsi"/>
        </w:rPr>
        <w:t>[L]a Comisión también ha señalado que, en ciertas circunstancias, un Estado puede ser responsable por el comportamiento de actores no estatales. Más aún, ha sostenido que los derechos consagrados en la Declaración Americana pueden verse vulnerados cuando un Estado no actúa para prevenir, procesar y sancionar actos de violencia doméstica cometidos por particulares. 120. Las obligaciones que establece este artículo comprenden la prevención y la erradicación de la violencia contra la mujer como componente crucial del deber del Estado de eliminar formas directas e indirectas de discriminación. De acuerdo con esta obligación, en ciertas circunstancias, el Estado puede incurrir en responsabilidad por no proteger a las mujeres de actos de violencia doméstica perpetrados por particulares</w:t>
      </w:r>
    </w:p>
    <w:p w14:paraId="56250B87" w14:textId="77777777" w:rsidR="00A82DB1" w:rsidRDefault="00A82DB1" w:rsidP="00A82DB1">
      <w:pPr>
        <w:jc w:val="both"/>
        <w:rPr>
          <w:rFonts w:asciiTheme="majorHAnsi" w:hAnsiTheme="majorHAnsi" w:cstheme="majorHAnsi"/>
          <w:lang w:val="es-ES"/>
        </w:rPr>
      </w:pPr>
      <w:r w:rsidRPr="00741462">
        <w:rPr>
          <w:rFonts w:asciiTheme="majorHAnsi" w:hAnsiTheme="majorHAnsi" w:cstheme="majorHAnsi"/>
        </w:rPr>
        <w:t>CIDH, Caso Jessica Lenahan (Gonzales) y otros vs. Estados Unidos, Informe Nº 80/11, 21 de julio de 201</w:t>
      </w:r>
      <w:r w:rsidRPr="00741462">
        <w:rPr>
          <w:rFonts w:asciiTheme="majorHAnsi" w:hAnsiTheme="majorHAnsi" w:cstheme="majorHAnsi"/>
          <w:lang w:val="es-ES"/>
        </w:rPr>
        <w:t>1 parr119</w:t>
      </w:r>
    </w:p>
    <w:p w14:paraId="66382BEF" w14:textId="77777777" w:rsidR="00A82DB1" w:rsidRDefault="00A82DB1" w:rsidP="00A82DB1">
      <w:pPr>
        <w:jc w:val="both"/>
        <w:rPr>
          <w:rFonts w:asciiTheme="majorHAnsi" w:hAnsiTheme="majorHAnsi" w:cstheme="majorHAnsi"/>
          <w:lang w:val="es-ES"/>
        </w:rPr>
      </w:pPr>
    </w:p>
    <w:p w14:paraId="0472CA3A" w14:textId="42E35BEC" w:rsidR="00A82DB1" w:rsidRPr="00741462" w:rsidRDefault="00A82DB1" w:rsidP="00A82DB1">
      <w:pPr>
        <w:jc w:val="both"/>
        <w:rPr>
          <w:rFonts w:asciiTheme="majorHAnsi" w:hAnsiTheme="majorHAnsi" w:cstheme="majorHAnsi"/>
          <w:lang w:val="es-ES"/>
        </w:rPr>
      </w:pPr>
      <w:r w:rsidRPr="000E0AA1">
        <w:rPr>
          <w:rFonts w:asciiTheme="majorHAnsi" w:hAnsiTheme="majorHAnsi" w:cstheme="majorHAnsi"/>
          <w:lang w:val="es-ES"/>
        </w:rPr>
        <w:t xml:space="preserve">Los Estados partes son responsables de prevenir tales actos u omisiones de sus propios órganos y agentes mediante, entre otras, la capacitación y la adopción, aplicación y supervisión de las disposiciones jurídicas, reglamentos administrativos y códigos de conducta, y de la investigación, el enjuiciamiento y la aplicación de sanciones legales o disciplinarias adecuadas, así como de la concesión de reparación, en todos los casos de violencia por razón de género contra la mujer, en particular los que constituyan crímenes internacionales, y en caso de incumplimiento, negligencia u omisión por parte de las autoridades públicas31. Para ello, deberían tenerse en cuenta la diversidad de las mujeres y los riesgos de las formas interrelacionadas de discriminación. Recomendación general </w:t>
      </w:r>
      <w:proofErr w:type="spellStart"/>
      <w:r w:rsidRPr="000E0AA1">
        <w:rPr>
          <w:rFonts w:asciiTheme="majorHAnsi" w:hAnsiTheme="majorHAnsi" w:cstheme="majorHAnsi"/>
          <w:lang w:val="es-ES"/>
        </w:rPr>
        <w:t>num</w:t>
      </w:r>
      <w:proofErr w:type="spellEnd"/>
      <w:r w:rsidRPr="000E0AA1">
        <w:rPr>
          <w:rFonts w:asciiTheme="majorHAnsi" w:hAnsiTheme="majorHAnsi" w:cstheme="majorHAnsi"/>
          <w:lang w:val="es-ES"/>
        </w:rPr>
        <w:t xml:space="preserve">. 35 sobre la </w:t>
      </w:r>
      <w:proofErr w:type="gramStart"/>
      <w:r w:rsidRPr="000E0AA1">
        <w:rPr>
          <w:rFonts w:asciiTheme="majorHAnsi" w:hAnsiTheme="majorHAnsi" w:cstheme="majorHAnsi"/>
          <w:lang w:val="es-ES"/>
        </w:rPr>
        <w:t>violencia  por</w:t>
      </w:r>
      <w:proofErr w:type="gramEnd"/>
      <w:r w:rsidRPr="000E0AA1">
        <w:rPr>
          <w:rFonts w:asciiTheme="majorHAnsi" w:hAnsiTheme="majorHAnsi" w:cstheme="majorHAnsi"/>
          <w:lang w:val="es-ES"/>
        </w:rPr>
        <w:t xml:space="preserve"> razón de género contra la mujer, </w:t>
      </w:r>
      <w:proofErr w:type="spellStart"/>
      <w:r w:rsidRPr="000E0AA1">
        <w:rPr>
          <w:rFonts w:asciiTheme="majorHAnsi" w:hAnsiTheme="majorHAnsi" w:cstheme="majorHAnsi"/>
          <w:lang w:val="es-ES"/>
        </w:rPr>
        <w:t>Cdaw</w:t>
      </w:r>
      <w:proofErr w:type="spellEnd"/>
      <w:r w:rsidRPr="000E0AA1">
        <w:rPr>
          <w:rFonts w:asciiTheme="majorHAnsi" w:hAnsiTheme="majorHAnsi" w:cstheme="majorHAnsi"/>
          <w:lang w:val="es-ES"/>
        </w:rPr>
        <w:t xml:space="preserve"> 2017 parr23.</w:t>
      </w:r>
    </w:p>
    <w:p w14:paraId="42C4C01A" w14:textId="77777777" w:rsidR="00A82DB1" w:rsidRPr="00741462" w:rsidRDefault="00A82DB1" w:rsidP="00A82DB1">
      <w:pPr>
        <w:jc w:val="both"/>
        <w:rPr>
          <w:rFonts w:asciiTheme="majorHAnsi" w:hAnsiTheme="majorHAnsi" w:cstheme="majorHAnsi"/>
        </w:rPr>
      </w:pPr>
    </w:p>
    <w:p w14:paraId="7D3016A6" w14:textId="77777777" w:rsidR="0041692C" w:rsidRDefault="0041692C" w:rsidP="00A82DB1">
      <w:pPr>
        <w:jc w:val="both"/>
        <w:rPr>
          <w:rFonts w:asciiTheme="majorHAnsi" w:hAnsiTheme="majorHAnsi" w:cstheme="majorHAnsi"/>
          <w:b/>
          <w:bCs/>
        </w:rPr>
      </w:pPr>
    </w:p>
    <w:p w14:paraId="4CE56A2E" w14:textId="77777777" w:rsidR="0041692C" w:rsidRDefault="0041692C" w:rsidP="00A82DB1">
      <w:pPr>
        <w:jc w:val="both"/>
        <w:rPr>
          <w:rFonts w:asciiTheme="majorHAnsi" w:hAnsiTheme="majorHAnsi" w:cstheme="majorHAnsi"/>
          <w:b/>
          <w:bCs/>
        </w:rPr>
      </w:pPr>
    </w:p>
    <w:p w14:paraId="110A85A8" w14:textId="38E1E39A" w:rsidR="00A82DB1" w:rsidRPr="00702DEA" w:rsidRDefault="00A82DB1" w:rsidP="00A82DB1">
      <w:pPr>
        <w:jc w:val="both"/>
        <w:rPr>
          <w:rFonts w:asciiTheme="majorHAnsi" w:hAnsiTheme="majorHAnsi" w:cstheme="majorHAnsi"/>
        </w:rPr>
      </w:pPr>
      <w:r w:rsidRPr="00741462">
        <w:rPr>
          <w:rFonts w:asciiTheme="majorHAnsi" w:hAnsiTheme="majorHAnsi" w:cstheme="majorHAnsi"/>
          <w:b/>
          <w:bCs/>
        </w:rPr>
        <w:lastRenderedPageBreak/>
        <w:t>Acceso a Justicia</w:t>
      </w:r>
    </w:p>
    <w:p w14:paraId="4C546143"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rPr>
        <w:t>El Comité ha observado que la concentración de los tribunales y los órganos cuasi judiciales en las principales ciudades, su falta de disponibilidad en regiones rurales y remotas, el tiempo y el dinero necesarios para acceder a ellos, la complejidad de los procedimientos, las barreras físicas para las mujeres con discapacidad, la falta de acceso a un asesoramiento letrado de calidad, competente en cuestiones de género, incluida la asistencia jurídica, así como las deficiencias que se suelen observar en la calidad de los sistemas de justicia (por ejemplo, decisiones o sentencias que no tienen en cuenta el género debido a una falta de entrenamiento, demoras y la longitud excesiva de los procedimientos, la corrupción, etc.), son todos factores que impiden a la mujer el acceso a la justicia. RECOMENDACIÓN GENERAL 33, Comité CEDAW, 2015</w:t>
      </w:r>
      <w:r w:rsidRPr="00741462">
        <w:rPr>
          <w:rFonts w:asciiTheme="majorHAnsi" w:hAnsiTheme="majorHAnsi" w:cstheme="majorHAnsi"/>
          <w:lang w:val="es-ES"/>
        </w:rPr>
        <w:t xml:space="preserve"> parr13.</w:t>
      </w:r>
    </w:p>
    <w:p w14:paraId="5C241ABC" w14:textId="77777777" w:rsidR="00A82DB1" w:rsidRPr="00741462" w:rsidRDefault="00A82DB1" w:rsidP="00A82DB1">
      <w:pPr>
        <w:jc w:val="both"/>
        <w:rPr>
          <w:rFonts w:asciiTheme="majorHAnsi" w:hAnsiTheme="majorHAnsi" w:cstheme="majorHAnsi"/>
          <w:lang w:val="es-ES"/>
        </w:rPr>
      </w:pPr>
    </w:p>
    <w:p w14:paraId="70227E81"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rPr>
        <w:t>Los Estados Partes garanticen que en las zonas rurales los servicios para víctimas de la violencia sean asequibles a las mujeres y que, de ser necesario, se presten servicios especiales a las comunidades aisladas.</w:t>
      </w:r>
      <w:r w:rsidRPr="00741462">
        <w:rPr>
          <w:rFonts w:asciiTheme="majorHAnsi" w:hAnsiTheme="majorHAnsi" w:cstheme="majorHAnsi"/>
          <w:lang w:val="es-ES"/>
        </w:rPr>
        <w:t xml:space="preserve"> </w:t>
      </w:r>
      <w:r w:rsidRPr="00741462">
        <w:rPr>
          <w:rFonts w:asciiTheme="majorHAnsi" w:hAnsiTheme="majorHAnsi" w:cstheme="majorHAnsi"/>
        </w:rPr>
        <w:t>RECOMENDACIÓN GENERAL Nº19, Comité CEDAW,</w:t>
      </w:r>
    </w:p>
    <w:p w14:paraId="765BFD64" w14:textId="77777777" w:rsidR="00A82DB1" w:rsidRPr="00741462" w:rsidRDefault="00A82DB1" w:rsidP="00A82DB1">
      <w:pPr>
        <w:jc w:val="both"/>
        <w:rPr>
          <w:rFonts w:asciiTheme="majorHAnsi" w:hAnsiTheme="majorHAnsi" w:cstheme="majorHAnsi"/>
          <w:lang w:val="es-ES"/>
        </w:rPr>
      </w:pPr>
    </w:p>
    <w:p w14:paraId="4214E023" w14:textId="77777777" w:rsidR="00A82DB1" w:rsidRPr="00741462" w:rsidRDefault="00A82DB1" w:rsidP="00A82DB1">
      <w:pPr>
        <w:jc w:val="both"/>
        <w:rPr>
          <w:rFonts w:asciiTheme="majorHAnsi" w:hAnsiTheme="majorHAnsi" w:cstheme="majorHAnsi"/>
        </w:rPr>
      </w:pPr>
      <w:r w:rsidRPr="00741462">
        <w:rPr>
          <w:rFonts w:asciiTheme="majorHAnsi" w:hAnsiTheme="majorHAnsi" w:cstheme="majorHAnsi"/>
        </w:rPr>
        <w:t xml:space="preserve">Hay seis componentes esenciales y relacionados entre sí ―justiciabilidad, disponibilidad, accesibilidad, buena calidad, rendición de cuenta de los sistemas de justicia y suministro de recursos a las víctimas― que son necesarios para asegurar el acceso a la justicia. Si bien es cierto que las diferencias en las condiciones jurídicas, sociales, culturales, políticas y económicas prevalecientes exigirán una aplicación diferenciada de estas características en cada Estado parte, los elementos básicos del criterio son su aplicación universal e inmediata. </w:t>
      </w:r>
    </w:p>
    <w:p w14:paraId="35E76D77" w14:textId="77777777" w:rsidR="00A82DB1" w:rsidRPr="00741462" w:rsidRDefault="00A82DB1" w:rsidP="00A82DB1">
      <w:pPr>
        <w:jc w:val="both"/>
        <w:rPr>
          <w:rFonts w:asciiTheme="majorHAnsi" w:hAnsiTheme="majorHAnsi" w:cstheme="majorHAnsi"/>
        </w:rPr>
      </w:pPr>
    </w:p>
    <w:p w14:paraId="0A5F4467" w14:textId="6321D71A" w:rsidR="00A82DB1" w:rsidRPr="0041692C" w:rsidRDefault="00A82DB1" w:rsidP="0041692C">
      <w:pPr>
        <w:pStyle w:val="Prrafodelista"/>
        <w:numPr>
          <w:ilvl w:val="0"/>
          <w:numId w:val="8"/>
        </w:numPr>
        <w:jc w:val="both"/>
        <w:rPr>
          <w:rFonts w:asciiTheme="majorHAnsi" w:hAnsiTheme="majorHAnsi" w:cstheme="majorHAnsi"/>
        </w:rPr>
      </w:pPr>
      <w:r w:rsidRPr="0041692C">
        <w:rPr>
          <w:rFonts w:asciiTheme="majorHAnsi" w:hAnsiTheme="majorHAnsi" w:cstheme="majorHAnsi"/>
        </w:rPr>
        <w:t xml:space="preserve">La justiciabilidad requiere el acceso irrestricto de la mujer a la justicia así como la capacidad y el poder para reclamar sus derechos en virtud de la Convención como derechos jurídicos; </w:t>
      </w:r>
    </w:p>
    <w:p w14:paraId="03CFD28D" w14:textId="27FCADD2" w:rsidR="00A82DB1" w:rsidRPr="0041692C" w:rsidRDefault="00A82DB1" w:rsidP="0041692C">
      <w:pPr>
        <w:pStyle w:val="Prrafodelista"/>
        <w:numPr>
          <w:ilvl w:val="0"/>
          <w:numId w:val="8"/>
        </w:numPr>
        <w:jc w:val="both"/>
        <w:rPr>
          <w:rFonts w:asciiTheme="majorHAnsi" w:hAnsiTheme="majorHAnsi" w:cstheme="majorHAnsi"/>
        </w:rPr>
      </w:pPr>
      <w:r w:rsidRPr="0041692C">
        <w:rPr>
          <w:rFonts w:asciiTheme="majorHAnsi" w:hAnsiTheme="majorHAnsi" w:cstheme="majorHAnsi"/>
        </w:rPr>
        <w:t xml:space="preserve">La disponibilidad exige el establecimiento de tribunales y otros órganos cuasi judiciales o de otro tipo en todo el Estado parte, tanto en zonas urbanas como rurales y remotas, y su mantenimiento y financiación; </w:t>
      </w:r>
    </w:p>
    <w:p w14:paraId="56CD285D" w14:textId="70327F54" w:rsidR="00A82DB1" w:rsidRPr="0041692C" w:rsidRDefault="00A82DB1" w:rsidP="0041692C">
      <w:pPr>
        <w:pStyle w:val="Prrafodelista"/>
        <w:numPr>
          <w:ilvl w:val="0"/>
          <w:numId w:val="8"/>
        </w:numPr>
        <w:jc w:val="both"/>
        <w:rPr>
          <w:rFonts w:asciiTheme="majorHAnsi" w:hAnsiTheme="majorHAnsi" w:cstheme="majorHAnsi"/>
        </w:rPr>
      </w:pPr>
      <w:r w:rsidRPr="0041692C">
        <w:rPr>
          <w:rFonts w:asciiTheme="majorHAnsi" w:hAnsiTheme="majorHAnsi" w:cstheme="majorHAnsi"/>
        </w:rPr>
        <w:t xml:space="preserve">La accesibilidad requiere que los sistemas de justicia, tanto oficiales como cuasi judiciales, sean seguros, se puedan costear y resulten físicamente accesibles a las mujeres, y sean adaptados y apropiados a las necesidades de las mujeres, incluidas las que hacen frente a formas interseccionales o compuestas de discriminación; </w:t>
      </w:r>
    </w:p>
    <w:p w14:paraId="17925A05" w14:textId="77777777" w:rsidR="00A82DB1" w:rsidRPr="0041692C" w:rsidRDefault="00A82DB1" w:rsidP="0041692C">
      <w:pPr>
        <w:pStyle w:val="Prrafodelista"/>
        <w:numPr>
          <w:ilvl w:val="0"/>
          <w:numId w:val="8"/>
        </w:numPr>
        <w:jc w:val="both"/>
        <w:rPr>
          <w:rFonts w:asciiTheme="majorHAnsi" w:hAnsiTheme="majorHAnsi" w:cstheme="majorHAnsi"/>
        </w:rPr>
      </w:pPr>
      <w:r w:rsidRPr="0041692C">
        <w:rPr>
          <w:rFonts w:asciiTheme="majorHAnsi" w:hAnsiTheme="majorHAnsi" w:cstheme="majorHAnsi"/>
        </w:rPr>
        <w:t xml:space="preserve">d) La buena calidad de los sistemas de justicia requiere que todos los componentes del sistema se ajusten a las normas internacionales de competencia, eficiencia, independencia e imparcialidad   y provean, de manera oportuna, recursos apropiados y efectivos que se ejecuten y den lugar a una resolución sostenible de la controversia que tengan en cuenta las cuestiones de </w:t>
      </w:r>
      <w:r w:rsidRPr="0041692C">
        <w:rPr>
          <w:rFonts w:asciiTheme="majorHAnsi" w:hAnsiTheme="majorHAnsi" w:cstheme="majorHAnsi"/>
        </w:rPr>
        <w:lastRenderedPageBreak/>
        <w:t xml:space="preserve">género para todas las mujeres. Requiere también que los sistemas de justicia se enmarquen en un contexto, sean dinámicos, de participación, abiertos a las medidas innovadoras prácticas, sensibles a las cuestiones de género y tengan en cuenta las crecientes demandas de justicia que plantean las mujeres; </w:t>
      </w:r>
    </w:p>
    <w:p w14:paraId="64942A4F" w14:textId="0E82C731" w:rsidR="00A82DB1" w:rsidRPr="0041692C" w:rsidRDefault="00A82DB1" w:rsidP="0041692C">
      <w:pPr>
        <w:pStyle w:val="Prrafodelista"/>
        <w:numPr>
          <w:ilvl w:val="0"/>
          <w:numId w:val="8"/>
        </w:numPr>
        <w:jc w:val="both"/>
        <w:rPr>
          <w:rFonts w:asciiTheme="majorHAnsi" w:hAnsiTheme="majorHAnsi" w:cstheme="majorHAnsi"/>
        </w:rPr>
      </w:pPr>
      <w:r w:rsidRPr="0041692C">
        <w:rPr>
          <w:rFonts w:asciiTheme="majorHAnsi" w:hAnsiTheme="majorHAnsi" w:cstheme="majorHAnsi"/>
        </w:rPr>
        <w:t xml:space="preserve">La aplicación de recursos requiere que los sistemas de justicia ofrezcan a las mujeres una protección viable y una reparación significativa de cualquier daño que puedan haber sufrido (véase el artículo 2 de la Convención); y </w:t>
      </w:r>
    </w:p>
    <w:p w14:paraId="23281741" w14:textId="1A90D8FB" w:rsidR="00A82DB1" w:rsidRPr="0041692C" w:rsidRDefault="00A82DB1" w:rsidP="0041692C">
      <w:pPr>
        <w:pStyle w:val="Prrafodelista"/>
        <w:numPr>
          <w:ilvl w:val="0"/>
          <w:numId w:val="8"/>
        </w:numPr>
        <w:jc w:val="both"/>
        <w:rPr>
          <w:rFonts w:asciiTheme="majorHAnsi" w:hAnsiTheme="majorHAnsi" w:cstheme="majorHAnsi"/>
        </w:rPr>
      </w:pPr>
      <w:r w:rsidRPr="0041692C">
        <w:rPr>
          <w:rFonts w:asciiTheme="majorHAnsi" w:hAnsiTheme="majorHAnsi" w:cstheme="majorHAnsi"/>
        </w:rPr>
        <w:t>La rendición de cuentas de los sistemas de justicia se garantiza mediante la vigilancia de su funcionamiento para garantizar que funcionen conforme a los principios de justiciabilidad, disponibilidad, accesibilidad, buena calidad, y aplicación de recursos. La rendición de cuentas de los sistemas de justicia se refiere también a la vigilancia de las acciones de los profesionales que actúan en ellos y su responsabilidad jurídica en caso de que violen la ley. (Comité para la Eliminación de la Discriminación  contra la Mujer 2015, párr. 1</w:t>
      </w:r>
      <w:r w:rsidRPr="0041692C">
        <w:rPr>
          <w:rFonts w:asciiTheme="majorHAnsi" w:hAnsiTheme="majorHAnsi" w:cstheme="majorHAnsi"/>
          <w:lang w:val="es-ES"/>
        </w:rPr>
        <w:t>4</w:t>
      </w:r>
      <w:r w:rsidRPr="0041692C">
        <w:rPr>
          <w:rFonts w:asciiTheme="majorHAnsi" w:hAnsiTheme="majorHAnsi" w:cstheme="majorHAnsi"/>
        </w:rPr>
        <w:t xml:space="preserve"> y siguientes)</w:t>
      </w:r>
    </w:p>
    <w:p w14:paraId="5410EA6F" w14:textId="77777777" w:rsidR="00A82DB1" w:rsidRPr="00741462" w:rsidRDefault="00A82DB1" w:rsidP="00A82DB1">
      <w:pPr>
        <w:jc w:val="both"/>
        <w:rPr>
          <w:rFonts w:asciiTheme="majorHAnsi" w:hAnsiTheme="majorHAnsi" w:cstheme="majorHAnsi"/>
        </w:rPr>
      </w:pPr>
    </w:p>
    <w:p w14:paraId="27FE8BA7"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rPr>
        <w:t>Un elemento crucial para garantizar que los sistemas de justicia sean económicamente accesibles a las mujeres es el suministro de asistencia jurídica gratuita o de bajo costo, asesoramiento y representación en procesos judiciales y cuasi judiciales en todas las esferas del derecho. Los Estados Partes garanticen que en las zonas rurales los servicios para víctimas de la violencia sean asequibles a las mujeres y que, de ser necesario, se presten servicios especiales a las comunidades aisladas.</w:t>
      </w:r>
      <w:r w:rsidRPr="00741462">
        <w:rPr>
          <w:rFonts w:asciiTheme="majorHAnsi" w:hAnsiTheme="majorHAnsi" w:cstheme="majorHAnsi"/>
          <w:lang w:val="es-ES"/>
        </w:rPr>
        <w:t xml:space="preserve"> </w:t>
      </w:r>
      <w:r w:rsidRPr="00741462">
        <w:rPr>
          <w:rFonts w:asciiTheme="majorHAnsi" w:hAnsiTheme="majorHAnsi" w:cstheme="majorHAnsi"/>
        </w:rPr>
        <w:t>RECOMENDACIÓN GENERAL Nº19, Comité CEDAW,</w:t>
      </w:r>
      <w:r w:rsidRPr="00741462">
        <w:rPr>
          <w:rFonts w:asciiTheme="majorHAnsi" w:hAnsiTheme="majorHAnsi" w:cstheme="majorHAnsi"/>
          <w:lang w:val="es-ES"/>
        </w:rPr>
        <w:t xml:space="preserve"> par 36.</w:t>
      </w:r>
    </w:p>
    <w:p w14:paraId="6B404BA6" w14:textId="77777777" w:rsidR="00A82DB1" w:rsidRPr="00741462" w:rsidRDefault="00A82DB1" w:rsidP="00A82DB1">
      <w:pPr>
        <w:jc w:val="both"/>
        <w:rPr>
          <w:rFonts w:asciiTheme="majorHAnsi" w:hAnsiTheme="majorHAnsi" w:cstheme="majorHAnsi"/>
          <w:lang w:val="es-ES"/>
        </w:rPr>
      </w:pPr>
    </w:p>
    <w:p w14:paraId="1CA3122C" w14:textId="77777777" w:rsidR="00A82DB1" w:rsidRPr="00741462" w:rsidRDefault="00A82DB1" w:rsidP="00A82DB1">
      <w:pPr>
        <w:pStyle w:val="NormalWeb"/>
        <w:spacing w:before="90" w:beforeAutospacing="0" w:after="45" w:afterAutospacing="0" w:line="360" w:lineRule="atLeast"/>
        <w:ind w:right="75"/>
        <w:rPr>
          <w:rFonts w:asciiTheme="majorHAnsi" w:hAnsiTheme="majorHAnsi" w:cstheme="majorHAnsi"/>
          <w:color w:val="000000"/>
        </w:rPr>
      </w:pPr>
      <w:r w:rsidRPr="00741462">
        <w:rPr>
          <w:rFonts w:asciiTheme="majorHAnsi" w:hAnsiTheme="majorHAnsi" w:cstheme="majorHAnsi"/>
          <w:color w:val="000000"/>
        </w:rPr>
        <w:t>Los Estados Partes convienen en adoptar, en forma progresiva, medidas específicas, inclusive programas para:</w:t>
      </w:r>
    </w:p>
    <w:p w14:paraId="36FCE6FF"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color w:val="000000"/>
        </w:rPr>
        <w:t>d. suministrar los servicios especializados apropiados para la atención necesaria a la mujer objeto de violencia, por medio de entidades de los sectores público y privado, inclusive refugios, servicios de orientación para toda la familia, cuando sea del caso, y cuidado y custodia de los menores afectados;</w:t>
      </w:r>
      <w:r w:rsidRPr="00741462">
        <w:rPr>
          <w:rFonts w:asciiTheme="majorHAnsi" w:hAnsiTheme="majorHAnsi" w:cstheme="majorHAnsi"/>
          <w:color w:val="000000"/>
          <w:lang w:val="es-ES"/>
        </w:rPr>
        <w:t xml:space="preserve"> </w:t>
      </w:r>
      <w:r w:rsidRPr="00741462">
        <w:rPr>
          <w:rFonts w:asciiTheme="majorHAnsi" w:hAnsiTheme="majorHAnsi" w:cstheme="majorHAnsi"/>
          <w:lang w:val="es-ES"/>
        </w:rPr>
        <w:t>Convención Belém do Pará, 1994, artículo 8.d.</w:t>
      </w:r>
      <w:r w:rsidRPr="00741462">
        <w:rPr>
          <w:rFonts w:asciiTheme="majorHAnsi" w:hAnsiTheme="majorHAnsi" w:cstheme="majorHAnsi"/>
          <w:lang w:val="es-ES"/>
        </w:rPr>
        <w:tab/>
      </w:r>
      <w:r w:rsidRPr="00741462">
        <w:rPr>
          <w:rFonts w:asciiTheme="majorHAnsi" w:hAnsiTheme="majorHAnsi" w:cstheme="majorHAnsi"/>
          <w:lang w:val="es-ES"/>
        </w:rPr>
        <w:tab/>
      </w:r>
      <w:r w:rsidRPr="00741462">
        <w:rPr>
          <w:rFonts w:asciiTheme="majorHAnsi" w:hAnsiTheme="majorHAnsi" w:cstheme="majorHAnsi"/>
          <w:lang w:val="es-ES"/>
        </w:rPr>
        <w:tab/>
      </w:r>
      <w:r w:rsidRPr="00741462">
        <w:rPr>
          <w:rFonts w:asciiTheme="majorHAnsi" w:hAnsiTheme="majorHAnsi" w:cstheme="majorHAnsi"/>
          <w:lang w:val="es-ES"/>
        </w:rPr>
        <w:tab/>
      </w:r>
      <w:r w:rsidRPr="00741462">
        <w:rPr>
          <w:rFonts w:asciiTheme="majorHAnsi" w:hAnsiTheme="majorHAnsi" w:cstheme="majorHAnsi"/>
          <w:lang w:val="es-ES"/>
        </w:rPr>
        <w:tab/>
      </w:r>
      <w:r w:rsidRPr="00741462">
        <w:rPr>
          <w:rFonts w:asciiTheme="majorHAnsi" w:hAnsiTheme="majorHAnsi" w:cstheme="majorHAnsi"/>
          <w:lang w:val="es-ES"/>
        </w:rPr>
        <w:tab/>
      </w:r>
    </w:p>
    <w:p w14:paraId="1F368347" w14:textId="77777777" w:rsidR="00A82DB1" w:rsidRPr="00741462" w:rsidRDefault="00A82DB1" w:rsidP="00A82DB1">
      <w:pPr>
        <w:jc w:val="both"/>
        <w:rPr>
          <w:rFonts w:asciiTheme="majorHAnsi" w:hAnsiTheme="majorHAnsi" w:cstheme="majorHAnsi"/>
          <w:lang w:val="es-ES"/>
        </w:rPr>
      </w:pPr>
    </w:p>
    <w:p w14:paraId="09570EF1"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lang w:val="es-ES"/>
        </w:rPr>
        <w:t xml:space="preserve">La Corte también ha señalado que del artículo 8 de la Convención se desprende que las víctimas de violaciones de derechos humanos, o sus familiares, deben contar con amplias posibilidades de ser oídos y actuar en los respectivos procesos, tanto en procura del esclarecimiento de los hechos y del castigo de los responsables, como en busca de una debida reparación. Asimismo, el Tribunal ha señalado que la obligación de investigar y el correspondiente derecho de la presunta víctima o de los familiares no sólo se desprende de las normas convencionales de derecho internacional imperativas para los Estados Parte, sino que además se deriva de la legislación interna que hace referencia al deber de investigar de oficio ciertas conductas ilícitas y a las normas que permiten que las víctimas o sus familiares denuncien o presenten querellas, pruebas o peticiones o </w:t>
      </w:r>
      <w:r w:rsidRPr="00741462">
        <w:rPr>
          <w:rFonts w:asciiTheme="majorHAnsi" w:hAnsiTheme="majorHAnsi" w:cstheme="majorHAnsi"/>
          <w:lang w:val="es-ES"/>
        </w:rPr>
        <w:lastRenderedPageBreak/>
        <w:t xml:space="preserve">cualquier otra diligencia, con la finalidad de participar procesalmente en la investigación penal con la pretensión de establecer la verdad de los hechos237. Corte IDH, Caso Rosendo Cantú ..., párr. 176. </w:t>
      </w:r>
      <w:r w:rsidRPr="00741462">
        <w:rPr>
          <w:rFonts w:asciiTheme="majorHAnsi" w:hAnsiTheme="majorHAnsi" w:cstheme="majorHAnsi"/>
          <w:lang w:val="es-ES"/>
        </w:rPr>
        <w:tab/>
      </w:r>
      <w:r w:rsidRPr="00741462">
        <w:rPr>
          <w:rFonts w:asciiTheme="majorHAnsi" w:hAnsiTheme="majorHAnsi" w:cstheme="majorHAnsi"/>
          <w:lang w:val="es-ES"/>
        </w:rPr>
        <w:tab/>
      </w:r>
      <w:r w:rsidRPr="00741462">
        <w:rPr>
          <w:rFonts w:asciiTheme="majorHAnsi" w:hAnsiTheme="majorHAnsi" w:cstheme="majorHAnsi"/>
          <w:lang w:val="es-ES"/>
        </w:rPr>
        <w:tab/>
      </w:r>
      <w:r w:rsidRPr="00741462">
        <w:rPr>
          <w:rFonts w:asciiTheme="majorHAnsi" w:hAnsiTheme="majorHAnsi" w:cstheme="majorHAnsi"/>
          <w:lang w:val="es-ES"/>
        </w:rPr>
        <w:tab/>
      </w:r>
      <w:r w:rsidRPr="00741462">
        <w:rPr>
          <w:rFonts w:asciiTheme="majorHAnsi" w:hAnsiTheme="majorHAnsi" w:cstheme="majorHAnsi"/>
          <w:lang w:val="es-ES"/>
        </w:rPr>
        <w:tab/>
      </w:r>
    </w:p>
    <w:p w14:paraId="6BE4E65A" w14:textId="77777777" w:rsidR="00A82DB1" w:rsidRPr="00741462" w:rsidRDefault="00A82DB1" w:rsidP="00A82DB1">
      <w:pPr>
        <w:jc w:val="both"/>
        <w:rPr>
          <w:rFonts w:asciiTheme="majorHAnsi" w:hAnsiTheme="majorHAnsi" w:cstheme="majorHAnsi"/>
          <w:highlight w:val="yellow"/>
          <w:lang w:val="es-ES"/>
        </w:rPr>
      </w:pPr>
    </w:p>
    <w:p w14:paraId="4765EA61" w14:textId="77777777" w:rsidR="00A82DB1" w:rsidRDefault="00A82DB1" w:rsidP="00A82DB1">
      <w:pPr>
        <w:jc w:val="both"/>
        <w:rPr>
          <w:rFonts w:asciiTheme="majorHAnsi" w:hAnsiTheme="majorHAnsi" w:cstheme="majorHAnsi"/>
          <w:lang w:val="es-ES"/>
        </w:rPr>
      </w:pPr>
      <w:r>
        <w:rPr>
          <w:rFonts w:asciiTheme="majorHAnsi" w:hAnsiTheme="majorHAnsi" w:cstheme="majorHAnsi"/>
          <w:lang w:val="es-ES"/>
        </w:rPr>
        <w:t>(</w:t>
      </w:r>
      <w:proofErr w:type="gramStart"/>
      <w:r>
        <w:rPr>
          <w:rFonts w:asciiTheme="majorHAnsi" w:hAnsiTheme="majorHAnsi" w:cstheme="majorHAnsi"/>
          <w:lang w:val="es-ES"/>
        </w:rPr>
        <w:t>…)</w:t>
      </w:r>
      <w:r w:rsidRPr="00741462">
        <w:rPr>
          <w:rFonts w:asciiTheme="majorHAnsi" w:hAnsiTheme="majorHAnsi" w:cstheme="majorHAnsi"/>
          <w:lang w:val="es-ES"/>
        </w:rPr>
        <w:t>El</w:t>
      </w:r>
      <w:proofErr w:type="gramEnd"/>
      <w:r w:rsidRPr="00741462">
        <w:rPr>
          <w:rFonts w:asciiTheme="majorHAnsi" w:hAnsiTheme="majorHAnsi" w:cstheme="majorHAnsi"/>
          <w:lang w:val="es-ES"/>
        </w:rPr>
        <w:t xml:space="preserve"> Tribunal considera oportuno señalar que no deben existir obstáculos en la búsqueda de justicia en el presente caso y, por lo tanto, el Estado debe continuar adoptando todas las medidas necesarias para proteger y garantizar la seguridad de las víctimas, asegurando que puedan ejercer sus derechos a las garantías judiciales y a la protección judicial sin restricciones</w:t>
      </w:r>
      <w:r>
        <w:rPr>
          <w:rFonts w:asciiTheme="majorHAnsi" w:hAnsiTheme="majorHAnsi" w:cstheme="majorHAnsi"/>
          <w:lang w:val="es-ES"/>
        </w:rPr>
        <w:t xml:space="preserve"> Rosendo cantú 196</w:t>
      </w:r>
    </w:p>
    <w:p w14:paraId="2BDD636E" w14:textId="77777777" w:rsidR="00A82DB1" w:rsidRDefault="00A82DB1" w:rsidP="00A82DB1">
      <w:pPr>
        <w:jc w:val="both"/>
        <w:rPr>
          <w:rFonts w:asciiTheme="majorHAnsi" w:hAnsiTheme="majorHAnsi" w:cstheme="majorHAnsi"/>
          <w:lang w:val="es-ES"/>
        </w:rPr>
      </w:pPr>
    </w:p>
    <w:p w14:paraId="673C44C8" w14:textId="77777777" w:rsidR="00A82DB1" w:rsidRPr="00741462" w:rsidRDefault="00A82DB1" w:rsidP="00A82DB1">
      <w:pPr>
        <w:jc w:val="both"/>
        <w:rPr>
          <w:rFonts w:asciiTheme="majorHAnsi" w:hAnsiTheme="majorHAnsi" w:cstheme="majorHAnsi"/>
        </w:rPr>
      </w:pPr>
    </w:p>
    <w:p w14:paraId="0E2793FC" w14:textId="77777777" w:rsidR="00A82DB1" w:rsidRPr="004744F9" w:rsidRDefault="00A82DB1" w:rsidP="00A82DB1">
      <w:pPr>
        <w:jc w:val="both"/>
        <w:rPr>
          <w:rFonts w:asciiTheme="majorHAnsi" w:hAnsiTheme="majorHAnsi" w:cstheme="majorHAnsi"/>
          <w:lang w:val="es-ES"/>
        </w:rPr>
      </w:pPr>
      <w:r>
        <w:rPr>
          <w:rFonts w:asciiTheme="majorHAnsi" w:hAnsiTheme="majorHAnsi" w:cstheme="majorHAnsi"/>
          <w:lang w:val="es-ES"/>
        </w:rPr>
        <w:t xml:space="preserve">(…) </w:t>
      </w:r>
      <w:r w:rsidRPr="00741462">
        <w:rPr>
          <w:rFonts w:asciiTheme="majorHAnsi" w:hAnsiTheme="majorHAnsi" w:cstheme="majorHAnsi"/>
          <w:lang w:val="es-ES"/>
        </w:rPr>
        <w:t xml:space="preserve">La Corte reitera que el apoyo a una víctima de violación sexual es fundamental desde el inicio de la investigación para brindar seguridad y 71 un marco adecuado para referirse a los hechos </w:t>
      </w:r>
      <w:r w:rsidRPr="004744F9">
        <w:rPr>
          <w:rFonts w:asciiTheme="majorHAnsi" w:hAnsiTheme="majorHAnsi" w:cstheme="majorHAnsi"/>
          <w:lang w:val="es-ES"/>
        </w:rPr>
        <w:t>sufridos y facilitar su participación, de la mejor manera y con el mayor de los cuidados, en las diligencias de investigación. Corte IDH, Caso Rosendo Cantú contra México, 31 de agosto de 2010, párr. 189.</w:t>
      </w:r>
    </w:p>
    <w:p w14:paraId="1F64F088" w14:textId="77777777" w:rsidR="00A82DB1" w:rsidRPr="004744F9" w:rsidRDefault="00A82DB1" w:rsidP="00A82DB1">
      <w:pPr>
        <w:jc w:val="both"/>
        <w:rPr>
          <w:rFonts w:asciiTheme="majorHAnsi" w:hAnsiTheme="majorHAnsi" w:cstheme="majorHAnsi"/>
          <w:lang w:val="es-ES"/>
        </w:rPr>
      </w:pPr>
    </w:p>
    <w:p w14:paraId="1E5B7895" w14:textId="67DE42EF" w:rsidR="00A82DB1" w:rsidRPr="00F96F52" w:rsidRDefault="00A82DB1" w:rsidP="00A82DB1">
      <w:pPr>
        <w:jc w:val="both"/>
        <w:rPr>
          <w:rFonts w:asciiTheme="majorHAnsi" w:hAnsiTheme="majorHAnsi" w:cstheme="majorHAnsi"/>
          <w:lang w:val="es-ES"/>
        </w:rPr>
      </w:pPr>
      <w:r w:rsidRPr="004744F9">
        <w:rPr>
          <w:rFonts w:asciiTheme="majorHAnsi" w:hAnsiTheme="majorHAnsi" w:cstheme="majorHAnsi"/>
          <w:lang w:val="es-ES"/>
        </w:rPr>
        <w:t>Además, debe considerarse la opinión de la víctima como parte del proceso restaurador; lo que le ayuda a tomar control de sus vidas.  Es un factor determinante para lograr la recuperación de su dignidad, su personalidad y su autoestima; lesionada a causa del sufrimiento y el daño vivido.</w:t>
      </w:r>
      <w:r>
        <w:rPr>
          <w:rFonts w:asciiTheme="majorHAnsi" w:hAnsiTheme="majorHAnsi" w:cstheme="majorHAnsi"/>
          <w:lang w:val="es-ES"/>
        </w:rPr>
        <w:t xml:space="preserve"> </w:t>
      </w:r>
      <w:r w:rsidRPr="004744F9">
        <w:rPr>
          <w:rFonts w:asciiTheme="majorHAnsi" w:hAnsiTheme="majorHAnsi" w:cstheme="majorHAnsi"/>
          <w:lang w:val="es-ES"/>
        </w:rPr>
        <w:t>Acceso a la justicia para mujeres víctimas de violencia sexual en </w:t>
      </w:r>
      <w:proofErr w:type="spellStart"/>
      <w:proofErr w:type="gramStart"/>
      <w:r w:rsidRPr="004744F9">
        <w:rPr>
          <w:rFonts w:asciiTheme="majorHAnsi" w:hAnsiTheme="majorHAnsi" w:cstheme="majorHAnsi"/>
          <w:lang w:val="es-ES"/>
        </w:rPr>
        <w:t>mesoamérica</w:t>
      </w:r>
      <w:proofErr w:type="spellEnd"/>
      <w:r w:rsidRPr="004744F9">
        <w:rPr>
          <w:rFonts w:asciiTheme="majorHAnsi" w:hAnsiTheme="majorHAnsi" w:cstheme="majorHAnsi"/>
          <w:lang w:val="es-ES"/>
        </w:rPr>
        <w:t>  2011</w:t>
      </w:r>
      <w:proofErr w:type="gramEnd"/>
      <w:r>
        <w:rPr>
          <w:rFonts w:asciiTheme="majorHAnsi" w:hAnsiTheme="majorHAnsi" w:cstheme="majorHAnsi"/>
          <w:lang w:val="es-ES"/>
        </w:rPr>
        <w:t xml:space="preserve">, </w:t>
      </w:r>
      <w:proofErr w:type="spellStart"/>
      <w:r>
        <w:rPr>
          <w:rFonts w:asciiTheme="majorHAnsi" w:hAnsiTheme="majorHAnsi" w:cstheme="majorHAnsi"/>
          <w:lang w:val="es-ES"/>
        </w:rPr>
        <w:t>Parr</w:t>
      </w:r>
      <w:proofErr w:type="spellEnd"/>
      <w:r>
        <w:rPr>
          <w:rFonts w:asciiTheme="majorHAnsi" w:hAnsiTheme="majorHAnsi" w:cstheme="majorHAnsi"/>
          <w:lang w:val="es-ES"/>
        </w:rPr>
        <w:t xml:space="preserve"> </w:t>
      </w:r>
      <w:r w:rsidRPr="004744F9">
        <w:rPr>
          <w:rFonts w:asciiTheme="majorHAnsi" w:hAnsiTheme="majorHAnsi" w:cstheme="majorHAnsi"/>
          <w:lang w:val="es-ES"/>
        </w:rPr>
        <w:t>110.</w:t>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p>
    <w:p w14:paraId="362DA3CD" w14:textId="77777777" w:rsidR="00A82DB1" w:rsidRPr="00741462" w:rsidRDefault="00A82DB1" w:rsidP="00A82DB1">
      <w:pPr>
        <w:jc w:val="both"/>
        <w:rPr>
          <w:rFonts w:asciiTheme="majorHAnsi" w:hAnsiTheme="majorHAnsi" w:cstheme="majorHAnsi"/>
          <w:b/>
          <w:bCs/>
          <w:lang w:val="es-ES"/>
        </w:rPr>
      </w:pPr>
      <w:r w:rsidRPr="00741462">
        <w:rPr>
          <w:rFonts w:asciiTheme="majorHAnsi" w:hAnsiTheme="majorHAnsi" w:cstheme="majorHAnsi"/>
          <w:b/>
          <w:bCs/>
          <w:lang w:val="es-ES"/>
        </w:rPr>
        <w:t xml:space="preserve">Debida </w:t>
      </w:r>
      <w:proofErr w:type="gramStart"/>
      <w:r w:rsidRPr="00741462">
        <w:rPr>
          <w:rFonts w:asciiTheme="majorHAnsi" w:hAnsiTheme="majorHAnsi" w:cstheme="majorHAnsi"/>
          <w:b/>
          <w:bCs/>
          <w:lang w:val="es-ES"/>
        </w:rPr>
        <w:t xml:space="preserve">Diligencia </w:t>
      </w:r>
      <w:r>
        <w:rPr>
          <w:rFonts w:asciiTheme="majorHAnsi" w:hAnsiTheme="majorHAnsi" w:cstheme="majorHAnsi"/>
          <w:b/>
          <w:bCs/>
          <w:lang w:val="es-ES"/>
        </w:rPr>
        <w:t xml:space="preserve"> y</w:t>
      </w:r>
      <w:proofErr w:type="gramEnd"/>
      <w:r>
        <w:rPr>
          <w:rFonts w:asciiTheme="majorHAnsi" w:hAnsiTheme="majorHAnsi" w:cstheme="majorHAnsi"/>
          <w:b/>
          <w:bCs/>
          <w:lang w:val="es-ES"/>
        </w:rPr>
        <w:t xml:space="preserve"> </w:t>
      </w:r>
      <w:r w:rsidRPr="00741462">
        <w:rPr>
          <w:rFonts w:asciiTheme="majorHAnsi" w:hAnsiTheme="majorHAnsi" w:cstheme="majorHAnsi"/>
          <w:b/>
          <w:bCs/>
          <w:lang w:val="es-ES"/>
        </w:rPr>
        <w:t>Revictimización</w:t>
      </w:r>
    </w:p>
    <w:p w14:paraId="49887673" w14:textId="77777777" w:rsidR="00A82DB1" w:rsidRPr="00741462" w:rsidRDefault="00A82DB1" w:rsidP="00A82DB1">
      <w:pPr>
        <w:jc w:val="both"/>
        <w:rPr>
          <w:rFonts w:asciiTheme="majorHAnsi" w:hAnsiTheme="majorHAnsi" w:cstheme="majorHAnsi"/>
        </w:rPr>
      </w:pPr>
      <w:r w:rsidRPr="00741462">
        <w:rPr>
          <w:rFonts w:asciiTheme="majorHAnsi" w:hAnsiTheme="majorHAnsi" w:cstheme="majorHAnsi"/>
        </w:rPr>
        <w:t>El Comité recomienda a los Estados Partes: (…); (c) Adoptar medidas eficaces para proteger a las mujeres contra la victimización secundaria en sus interacciones con las autoridades policiales</w:t>
      </w:r>
    </w:p>
    <w:p w14:paraId="1334FCFC"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rPr>
        <w:t>y judiciales. Considerar el establecimiento de unidades de género especializadas dentro de la aplicación de ley, los sistemas penales y enjuiciamiento.</w:t>
      </w:r>
      <w:r w:rsidRPr="00741462">
        <w:rPr>
          <w:rFonts w:asciiTheme="majorHAnsi" w:hAnsiTheme="majorHAnsi" w:cstheme="majorHAnsi"/>
          <w:lang w:val="es-ES"/>
        </w:rPr>
        <w:t xml:space="preserve"> </w:t>
      </w:r>
      <w:r w:rsidRPr="00741462">
        <w:rPr>
          <w:rFonts w:asciiTheme="majorHAnsi" w:hAnsiTheme="majorHAnsi" w:cstheme="majorHAnsi"/>
        </w:rPr>
        <w:t>RECOMENDACIÓN GENERAL Nº19, Comité CEDAW,</w:t>
      </w:r>
      <w:r w:rsidRPr="00741462">
        <w:rPr>
          <w:rFonts w:asciiTheme="majorHAnsi" w:hAnsiTheme="majorHAnsi" w:cstheme="majorHAnsi"/>
          <w:lang w:val="es-ES"/>
        </w:rPr>
        <w:t xml:space="preserve"> par 51.</w:t>
      </w:r>
    </w:p>
    <w:p w14:paraId="72DA15E7" w14:textId="77777777" w:rsidR="00A82DB1" w:rsidRPr="00741462" w:rsidRDefault="00A82DB1" w:rsidP="00A82DB1">
      <w:pPr>
        <w:jc w:val="both"/>
        <w:rPr>
          <w:rFonts w:asciiTheme="majorHAnsi" w:hAnsiTheme="majorHAnsi" w:cstheme="majorHAnsi"/>
        </w:rPr>
      </w:pPr>
    </w:p>
    <w:p w14:paraId="33872E43" w14:textId="77777777" w:rsidR="00A82DB1" w:rsidRPr="00741462" w:rsidRDefault="00A82DB1" w:rsidP="00A82DB1">
      <w:pPr>
        <w:pStyle w:val="NormalWeb"/>
        <w:spacing w:before="0" w:beforeAutospacing="0" w:after="0" w:afterAutospacing="0"/>
        <w:jc w:val="both"/>
        <w:rPr>
          <w:rFonts w:asciiTheme="majorHAnsi" w:hAnsiTheme="majorHAnsi" w:cstheme="majorHAnsi"/>
          <w:color w:val="000000"/>
          <w:lang w:val="es-ES"/>
        </w:rPr>
      </w:pPr>
      <w:r w:rsidRPr="00741462">
        <w:rPr>
          <w:rFonts w:asciiTheme="majorHAnsi" w:hAnsiTheme="majorHAnsi" w:cstheme="majorHAnsi"/>
          <w:color w:val="000000"/>
          <w:lang w:val="es-ES"/>
        </w:rPr>
        <w:t xml:space="preserve">En estos casos, las autoridades estatales deben iniciar ex </w:t>
      </w:r>
      <w:proofErr w:type="spellStart"/>
      <w:r w:rsidRPr="00741462">
        <w:rPr>
          <w:rFonts w:asciiTheme="majorHAnsi" w:hAnsiTheme="majorHAnsi" w:cstheme="majorHAnsi"/>
          <w:color w:val="000000"/>
          <w:lang w:val="es-ES"/>
        </w:rPr>
        <w:t>officio</w:t>
      </w:r>
      <w:proofErr w:type="spellEnd"/>
      <w:r w:rsidRPr="00741462">
        <w:rPr>
          <w:rFonts w:asciiTheme="majorHAnsi" w:hAnsiTheme="majorHAnsi" w:cstheme="majorHAnsi"/>
          <w:color w:val="000000"/>
          <w:lang w:val="es-ES"/>
        </w:rPr>
        <w:t xml:space="preserve"> y sin dilación, una investigación seria, imparcial y efectiva una vez que tomen conocimiento de los hechos que constituyan violencia contra la mujer, incluyendo la violencia sexual.</w:t>
      </w:r>
      <w:r w:rsidRPr="00741462">
        <w:rPr>
          <w:rFonts w:asciiTheme="majorHAnsi" w:hAnsiTheme="majorHAnsi" w:cstheme="majorHAnsi"/>
          <w:color w:val="000000"/>
          <w:lang w:val="es-ES"/>
        </w:rPr>
        <w:tab/>
        <w:t>Corte IDH, Caso Velásquez Paiz y otro vs. Guatemala, Sentencia de 19 de noviembre de 2015, par 145.</w:t>
      </w:r>
    </w:p>
    <w:p w14:paraId="64069708" w14:textId="77777777" w:rsidR="00A82DB1" w:rsidRPr="00741462" w:rsidRDefault="00A82DB1" w:rsidP="00A82DB1">
      <w:pPr>
        <w:pStyle w:val="NormalWeb"/>
        <w:spacing w:before="0" w:beforeAutospacing="0" w:after="0" w:afterAutospacing="0"/>
        <w:jc w:val="both"/>
        <w:rPr>
          <w:rFonts w:asciiTheme="majorHAnsi" w:hAnsiTheme="majorHAnsi" w:cstheme="majorHAnsi"/>
          <w:color w:val="000000"/>
          <w:lang w:val="es-ES"/>
        </w:rPr>
      </w:pPr>
    </w:p>
    <w:p w14:paraId="6BDCEDD0" w14:textId="77777777" w:rsidR="00A82DB1" w:rsidRPr="00741462" w:rsidRDefault="00A82DB1" w:rsidP="00A82DB1">
      <w:pPr>
        <w:pStyle w:val="NormalWeb"/>
        <w:spacing w:before="0" w:beforeAutospacing="0" w:after="0" w:afterAutospacing="0"/>
        <w:jc w:val="both"/>
        <w:rPr>
          <w:rFonts w:asciiTheme="majorHAnsi" w:hAnsiTheme="majorHAnsi" w:cstheme="majorHAnsi"/>
          <w:color w:val="000000"/>
          <w:lang w:val="es-ES"/>
        </w:rPr>
      </w:pPr>
      <w:r w:rsidRPr="00741462">
        <w:rPr>
          <w:rFonts w:asciiTheme="majorHAnsi" w:hAnsiTheme="majorHAnsi" w:cstheme="majorHAnsi"/>
          <w:color w:val="000000"/>
          <w:lang w:val="es-ES"/>
        </w:rPr>
        <w:t xml:space="preserve">Dicha investigación deberá incluir una perspectiva de género, emprender líneas de investigación específicas respecto a violencia sexual, y posibilitar a los familiares de la víctima información sobre los avances en la investigación, de conformidad con la </w:t>
      </w:r>
      <w:r w:rsidRPr="00741462">
        <w:rPr>
          <w:rFonts w:asciiTheme="majorHAnsi" w:hAnsiTheme="majorHAnsi" w:cstheme="majorHAnsi"/>
          <w:color w:val="000000"/>
          <w:lang w:val="es-ES"/>
        </w:rPr>
        <w:lastRenderedPageBreak/>
        <w:t>legislación interna, y en su caso, la participación adecuada en el proceso penal. Asimismo, la investigación debe realizarse por funcionarios capacitados en casos similares y en atención a víctimas de discriminación y violencia por razón de género.</w:t>
      </w:r>
      <w:r w:rsidRPr="00741462">
        <w:rPr>
          <w:rFonts w:asciiTheme="majorHAnsi" w:hAnsiTheme="majorHAnsi" w:cstheme="majorHAnsi"/>
          <w:color w:val="000000"/>
          <w:lang w:val="es-ES"/>
        </w:rPr>
        <w:tab/>
        <w:t>Corte IDH, Caso Véliz Franco vs. Guatemala, Sentencia de 19 de mayo de 2014 Párr. 251.</w:t>
      </w:r>
    </w:p>
    <w:p w14:paraId="159C3196" w14:textId="77777777" w:rsidR="00A82DB1" w:rsidRPr="00741462" w:rsidRDefault="00A82DB1" w:rsidP="00A82DB1">
      <w:pPr>
        <w:rPr>
          <w:rFonts w:asciiTheme="majorHAnsi" w:hAnsiTheme="majorHAnsi" w:cstheme="majorHAnsi"/>
        </w:rPr>
      </w:pPr>
    </w:p>
    <w:p w14:paraId="2427060F"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rPr>
        <w:t>la Corte considera importante subrayar una vez más que, en casos de violencia sexual, esta ha destacado que la investigación debe intentar evitar en lo posible la revictimización o reexperimentación de la profunda experiencia traumática de la víctima199. Esto adquiere especial relevancia en el caso de niñas, en virtud del deber de diligencia reforzada del Estado y de la situación agravada de vulnerabilidad en la que se encuentran al haber sido víctimas de violencia sexual.</w:t>
      </w:r>
      <w:r w:rsidRPr="00741462">
        <w:rPr>
          <w:rFonts w:asciiTheme="majorHAnsi" w:hAnsiTheme="majorHAnsi" w:cstheme="majorHAnsi"/>
          <w:lang w:val="es-ES"/>
        </w:rPr>
        <w:t xml:space="preserve"> CASO ANGULO LOSADA VS. BOLIVIA SENTENCIA DE 18 DE NOVIEMBRE DE 2022 parr108</w:t>
      </w:r>
    </w:p>
    <w:p w14:paraId="08203AA1" w14:textId="77777777" w:rsidR="00A82DB1" w:rsidRPr="00741462" w:rsidRDefault="00A82DB1" w:rsidP="00A82DB1">
      <w:pPr>
        <w:jc w:val="both"/>
        <w:rPr>
          <w:rFonts w:asciiTheme="majorHAnsi" w:hAnsiTheme="majorHAnsi" w:cstheme="majorHAnsi"/>
        </w:rPr>
      </w:pPr>
    </w:p>
    <w:p w14:paraId="5775E969" w14:textId="77777777" w:rsidR="00A82DB1" w:rsidRPr="00741462" w:rsidRDefault="00A82DB1" w:rsidP="00A82DB1">
      <w:pPr>
        <w:jc w:val="both"/>
        <w:rPr>
          <w:rFonts w:asciiTheme="majorHAnsi" w:hAnsiTheme="majorHAnsi" w:cstheme="majorHAnsi"/>
          <w:lang w:val="es-ES"/>
        </w:rPr>
      </w:pPr>
      <w:r w:rsidRPr="00741462">
        <w:rPr>
          <w:rFonts w:asciiTheme="majorHAnsi" w:hAnsiTheme="majorHAnsi" w:cstheme="majorHAnsi"/>
        </w:rPr>
        <w:t xml:space="preserve">Asimismo, tomando en consideración el rol central que tiene la declaración de la víctima de violencia sexual en casos de esa naturaleza, </w:t>
      </w:r>
      <w:r>
        <w:rPr>
          <w:rFonts w:asciiTheme="majorHAnsi" w:hAnsiTheme="majorHAnsi" w:cstheme="majorHAnsi"/>
          <w:lang w:val="es-ES"/>
        </w:rPr>
        <w:t xml:space="preserve">(…) </w:t>
      </w:r>
      <w:r w:rsidRPr="00741462">
        <w:rPr>
          <w:rFonts w:asciiTheme="majorHAnsi" w:hAnsiTheme="majorHAnsi" w:cstheme="majorHAnsi"/>
        </w:rPr>
        <w:t xml:space="preserve">el Tribunal considera acreditado el hecho de que Brisa tuvo una experiencia traumática durante ese primer examen ginecológico forense. En este sentido, cabe señalar que no se permitió que la madre de la presunta víctima la acompañara durante la realización del examen. Por ende, la Corte considera acreditado que en la evaluación practicada a la presunta víctima intervinieron profesionales y/o estudiantes de sexo masculino. Brisa pidió que los estudiantes no estuvieran en la sala, pero su solicitud no fue atendida e incluso algunos de ellos emplearon la fuerza para obligarla a abrir sus piernas cuando realizaron la revisión médica, a pesar de que Brisa manifestó claramente que tenía dolor y estaba incómoda, lo cual fue ignorado por los presentes. En vista de ello, el Tribunal estima que hubo una serie de omisiones y falencias en la realización del primer examen médico forense que resultan incompatibles con los requerimientos de una debida diligencia estricta pues: (i) no permitieron que Brisa estuviera acompañada de una persona de su confianza durante la revisión médica; (ii) no consta que se brindara a la niña ni a su madre información sobre en qué consistiría dicho examen o cuál sería la práctica médica; (iii) no fue comprobado que las personas que estuvieron presentes en el examen fueran profesionales especialmente capacitados enatender a víctimas que fuesen niños, niñas o adolescentes o que fuera un especialista en ginecología con entrenamiento para este tipo de exámenes en casos de violencia sexual; (iv) se constató la presencia de una cantidad excesiva de personal de salud; (v) no se respetó la voluntad de Brisa de que los estudiantes se retiraran de la sala de examen; (vi) se empleó fuerza física para realizar el examen; (vii) no se respetó sus manifestaciones de incomodidad y dolor; (viii) no existe prueba alguna del consentimiento de Brisa para la realización de cada uno de los procedimientos de la revisión forense, y (ix) no se realizó un acta del examen.  </w:t>
      </w:r>
      <w:r w:rsidRPr="00741462">
        <w:rPr>
          <w:rFonts w:asciiTheme="majorHAnsi" w:hAnsiTheme="majorHAnsi" w:cstheme="majorHAnsi"/>
          <w:lang w:val="es-ES"/>
        </w:rPr>
        <w:t xml:space="preserve"> </w:t>
      </w:r>
      <w:r>
        <w:rPr>
          <w:rFonts w:asciiTheme="majorHAnsi" w:hAnsiTheme="majorHAnsi" w:cstheme="majorHAnsi"/>
          <w:lang w:val="es-ES"/>
        </w:rPr>
        <w:t xml:space="preserve"> </w:t>
      </w:r>
      <w:r w:rsidRPr="00741462">
        <w:rPr>
          <w:rFonts w:asciiTheme="majorHAnsi" w:hAnsiTheme="majorHAnsi" w:cstheme="majorHAnsi"/>
          <w:lang w:val="es-ES"/>
        </w:rPr>
        <w:t>El Tribunal entiende que este acto, especialmente grave, en contravención de la debida diligencia, expuso a Brisa a una situación de revictimización. CASO ANGULO LOSADA VS. BOLIVIA SENTENCIA DE 18 DE NOVIEMBRE DE 2022</w:t>
      </w:r>
      <w:r>
        <w:rPr>
          <w:rFonts w:asciiTheme="majorHAnsi" w:hAnsiTheme="majorHAnsi" w:cstheme="majorHAnsi"/>
          <w:lang w:val="es-ES"/>
        </w:rPr>
        <w:t>, par 112 y</w:t>
      </w:r>
      <w:r w:rsidRPr="00741462">
        <w:rPr>
          <w:rFonts w:asciiTheme="majorHAnsi" w:hAnsiTheme="majorHAnsi" w:cstheme="majorHAnsi"/>
          <w:lang w:val="es-ES"/>
        </w:rPr>
        <w:t>113</w:t>
      </w:r>
    </w:p>
    <w:p w14:paraId="61884074" w14:textId="77777777" w:rsidR="00A82DB1" w:rsidRPr="00741462" w:rsidRDefault="00A82DB1" w:rsidP="00A82DB1">
      <w:pPr>
        <w:rPr>
          <w:rFonts w:asciiTheme="majorHAnsi" w:hAnsiTheme="majorHAnsi" w:cstheme="majorHAnsi"/>
        </w:rPr>
      </w:pPr>
    </w:p>
    <w:p w14:paraId="431D7DC7" w14:textId="77777777" w:rsidR="00A82DB1" w:rsidRPr="00676E82" w:rsidRDefault="00A82DB1" w:rsidP="00A82DB1">
      <w:pPr>
        <w:jc w:val="both"/>
        <w:rPr>
          <w:rFonts w:asciiTheme="majorHAnsi" w:hAnsiTheme="majorHAnsi" w:cstheme="majorHAnsi"/>
          <w:lang w:val="es-ES"/>
        </w:rPr>
      </w:pPr>
      <w:r w:rsidRPr="00741462">
        <w:rPr>
          <w:rFonts w:asciiTheme="majorHAnsi" w:hAnsiTheme="majorHAnsi" w:cstheme="majorHAnsi"/>
          <w:lang w:val="es-ES"/>
        </w:rPr>
        <w:t xml:space="preserve">Por otra parte, el Tribunal pudo verificar que Brisa se vio obligada a relatar en distintas ocasiones los hechos relacionados con la violencia sexual de que fue víctima, contrariando uno de los elementos clave de la debida diligencia estricta y reforzada que es la adopción de las medidas necesarias para evitar la repetición de entrevistas, pues su recurrencia obliga a las víctimas a volver a experimentar situaciones traumáticas217. Una de estas entrevistas fue realizada, a solicitud del </w:t>
      </w:r>
      <w:proofErr w:type="gramStart"/>
      <w:r w:rsidRPr="00741462">
        <w:rPr>
          <w:rFonts w:asciiTheme="majorHAnsi" w:hAnsiTheme="majorHAnsi" w:cstheme="majorHAnsi"/>
          <w:lang w:val="es-ES"/>
        </w:rPr>
        <w:t>Jefe</w:t>
      </w:r>
      <w:proofErr w:type="gramEnd"/>
      <w:r w:rsidRPr="00741462">
        <w:rPr>
          <w:rFonts w:asciiTheme="majorHAnsi" w:hAnsiTheme="majorHAnsi" w:cstheme="majorHAnsi"/>
          <w:lang w:val="es-ES"/>
        </w:rPr>
        <w:t xml:space="preserve"> de la División de Menores y Familia de la Policía Técnica Judicial, ante el SEDEGES de Cochabamba, el 1 de agosto de 2002. Se observa que, durante la entrevista, la presunta víctima no pudo elegir una persona de confianza para acompañarle, sino que estuvo presente un representante del Organismo Nacional del Menor, Mujer y Familia218, a quien Brisa no conocía. Además, la Corte nota que una de las preguntas que le fueron formuladas – “¿por qué no le decías nada?”, refiriéndose al hecho de que la niña había manifestado que algunas veces “no le respondía nada” a E.G.A-.219, pudo haber puesto a Brisa en una posición de sentirse culpable por la violencia sexual que sufrió, toda vez que de la pregunta podría inferirse que correspondía a la presunta víctima resistir y hacerlo expresamente. Tomando en cuenta lo anterior, la Corte considera que dicha entrevista fue </w:t>
      </w:r>
      <w:proofErr w:type="spellStart"/>
      <w:r w:rsidRPr="00741462">
        <w:rPr>
          <w:rFonts w:asciiTheme="majorHAnsi" w:hAnsiTheme="majorHAnsi" w:cstheme="majorHAnsi"/>
          <w:lang w:val="es-ES"/>
        </w:rPr>
        <w:t>revictimizante</w:t>
      </w:r>
      <w:proofErr w:type="spellEnd"/>
      <w:r w:rsidRPr="00741462">
        <w:rPr>
          <w:rFonts w:asciiTheme="majorHAnsi" w:hAnsiTheme="majorHAnsi" w:cstheme="majorHAnsi"/>
          <w:lang w:val="es-ES"/>
        </w:rPr>
        <w:t>. Adicionalmente, se advierte que no se ordenó la grabación de la declaración para evitar su repetición en el futuro.</w:t>
      </w:r>
      <w:r>
        <w:rPr>
          <w:rFonts w:asciiTheme="majorHAnsi" w:hAnsiTheme="majorHAnsi" w:cstheme="majorHAnsi"/>
          <w:lang w:val="es-ES"/>
        </w:rPr>
        <w:t xml:space="preserve"> </w:t>
      </w:r>
      <w:r w:rsidRPr="00741462">
        <w:rPr>
          <w:rFonts w:asciiTheme="majorHAnsi" w:hAnsiTheme="majorHAnsi" w:cstheme="majorHAnsi"/>
          <w:lang w:val="es-ES"/>
        </w:rPr>
        <w:t>CASO ANGULO LOSADA VS. BOLIVIA SENTENCIA DE 18 DE NOVIEMBRE DE 2022</w:t>
      </w:r>
      <w:r>
        <w:rPr>
          <w:rFonts w:asciiTheme="majorHAnsi" w:hAnsiTheme="majorHAnsi" w:cstheme="majorHAnsi"/>
          <w:lang w:val="es-ES"/>
        </w:rPr>
        <w:t>, par 116.</w:t>
      </w:r>
    </w:p>
    <w:p w14:paraId="5D6F1AC0" w14:textId="77777777" w:rsidR="00A82DB1" w:rsidRPr="00741462" w:rsidRDefault="00A82DB1" w:rsidP="00A82DB1">
      <w:pPr>
        <w:jc w:val="both"/>
        <w:rPr>
          <w:rFonts w:asciiTheme="majorHAnsi" w:eastAsia="Times New Roman" w:hAnsiTheme="majorHAnsi" w:cstheme="majorHAnsi"/>
          <w:color w:val="000000"/>
          <w:lang w:val="es-AR"/>
        </w:rPr>
      </w:pPr>
    </w:p>
    <w:p w14:paraId="0A622154" w14:textId="77777777" w:rsidR="00A82DB1" w:rsidRPr="00741462" w:rsidRDefault="00A82DB1" w:rsidP="00A82DB1">
      <w:pPr>
        <w:jc w:val="both"/>
        <w:rPr>
          <w:rFonts w:asciiTheme="majorHAnsi" w:eastAsia="Times New Roman" w:hAnsiTheme="majorHAnsi" w:cstheme="majorHAnsi"/>
          <w:color w:val="000000"/>
        </w:rPr>
      </w:pPr>
      <w:r w:rsidRPr="00741462">
        <w:rPr>
          <w:rFonts w:asciiTheme="majorHAnsi" w:eastAsia="Times New Roman" w:hAnsiTheme="majorHAnsi" w:cstheme="majorHAnsi"/>
          <w:color w:val="000000"/>
          <w:lang w:val="es-AR"/>
        </w:rPr>
        <w:t>En materia de prevención y protección, </w:t>
      </w:r>
      <w:r w:rsidRPr="00741462">
        <w:rPr>
          <w:rFonts w:asciiTheme="majorHAnsi" w:eastAsia="Times New Roman" w:hAnsiTheme="majorHAnsi" w:cstheme="majorHAnsi"/>
          <w:color w:val="000000"/>
          <w:lang w:val="es-ES"/>
        </w:rPr>
        <w:t>la CIDH ha verificado que las autoridades estatales, y en particular la policía, no cumplen plenamente con su deber de proteger a las mujeres víctimas de violencia contra actos inminentes.  Los problemas más graves verificados son el cumplimiento y el seguimiento de órdenes de protección o medidas cautelares emitidas, situación particularmente crítica en la esfera de la violencia intrafamiliar.  Entre las razones que explican la inacción de las autoridades estatales se encuentran su desconfianza en lo alegado por las víctimas de violencia y su percepción del tema como un asunto privado y de baja prioridad.  </w:t>
      </w:r>
      <w:r w:rsidRPr="00741462">
        <w:rPr>
          <w:rFonts w:asciiTheme="majorHAnsi" w:eastAsia="Times New Roman" w:hAnsiTheme="majorHAnsi" w:cstheme="majorHAnsi"/>
          <w:color w:val="000000"/>
          <w:lang w:val="es-AR"/>
        </w:rPr>
        <w:t>Se ha constatado que en muchos casos las mujeres sufren agresiones mortales luego de haber acudido a reclamar la protección cautelar del Estado, e incluso habiendo sido beneficiadas con medidas de protección que no fueron adecuadamente implementadas ni supervisadas.</w:t>
      </w:r>
      <w:r w:rsidRPr="00741462">
        <w:rPr>
          <w:rFonts w:asciiTheme="majorHAnsi" w:hAnsiTheme="majorHAnsi" w:cstheme="majorHAnsi"/>
          <w:lang w:val="es-ES"/>
        </w:rPr>
        <w:t xml:space="preserve"> CIDH, Acceso a la Justicia para Mujeres </w:t>
      </w:r>
      <w:proofErr w:type="spellStart"/>
      <w:r w:rsidRPr="00741462">
        <w:rPr>
          <w:rFonts w:asciiTheme="majorHAnsi" w:hAnsiTheme="majorHAnsi" w:cstheme="majorHAnsi"/>
          <w:lang w:val="es-ES"/>
        </w:rPr>
        <w:t>Victimas</w:t>
      </w:r>
      <w:proofErr w:type="spellEnd"/>
      <w:r w:rsidRPr="00741462">
        <w:rPr>
          <w:rFonts w:asciiTheme="majorHAnsi" w:hAnsiTheme="majorHAnsi" w:cstheme="majorHAnsi"/>
          <w:lang w:val="es-ES"/>
        </w:rPr>
        <w:t xml:space="preserve"> de violencia en las Américas 2007, párr.166</w:t>
      </w:r>
    </w:p>
    <w:p w14:paraId="71A5445E" w14:textId="77777777" w:rsidR="00A82DB1" w:rsidRPr="00741462" w:rsidRDefault="00A82DB1" w:rsidP="00A82DB1">
      <w:pPr>
        <w:jc w:val="both"/>
        <w:rPr>
          <w:rFonts w:asciiTheme="majorHAnsi" w:eastAsia="Times New Roman" w:hAnsiTheme="majorHAnsi" w:cstheme="majorHAnsi"/>
          <w:color w:val="000000"/>
        </w:rPr>
      </w:pPr>
      <w:r w:rsidRPr="00741462">
        <w:rPr>
          <w:rFonts w:asciiTheme="majorHAnsi" w:eastAsia="Times New Roman" w:hAnsiTheme="majorHAnsi" w:cstheme="majorHAnsi"/>
          <w:color w:val="000000"/>
          <w:lang w:val="es-AR"/>
        </w:rPr>
        <w:t> </w:t>
      </w:r>
    </w:p>
    <w:p w14:paraId="6C3CB478" w14:textId="77777777" w:rsidR="00A82DB1" w:rsidRPr="00741462" w:rsidRDefault="00A82DB1" w:rsidP="00A82DB1">
      <w:pPr>
        <w:jc w:val="both"/>
        <w:rPr>
          <w:rFonts w:asciiTheme="majorHAnsi" w:eastAsia="Times New Roman" w:hAnsiTheme="majorHAnsi" w:cstheme="majorHAnsi"/>
          <w:color w:val="000000"/>
        </w:rPr>
      </w:pPr>
      <w:r w:rsidRPr="00741462">
        <w:rPr>
          <w:rFonts w:asciiTheme="majorHAnsi" w:eastAsia="Times New Roman" w:hAnsiTheme="majorHAnsi" w:cstheme="majorHAnsi"/>
          <w:color w:val="000000"/>
          <w:lang w:val="es-ES"/>
        </w:rPr>
        <w:t>(</w:t>
      </w:r>
      <w:proofErr w:type="gramStart"/>
      <w:r w:rsidRPr="00741462">
        <w:rPr>
          <w:rFonts w:asciiTheme="majorHAnsi" w:eastAsia="Times New Roman" w:hAnsiTheme="majorHAnsi" w:cstheme="majorHAnsi"/>
          <w:color w:val="000000"/>
          <w:lang w:val="es-ES"/>
        </w:rPr>
        <w:t>…)Preocupación</w:t>
      </w:r>
      <w:proofErr w:type="gramEnd"/>
      <w:r w:rsidRPr="00741462">
        <w:rPr>
          <w:rFonts w:asciiTheme="majorHAnsi" w:eastAsia="Times New Roman" w:hAnsiTheme="majorHAnsi" w:cstheme="majorHAnsi"/>
          <w:color w:val="000000"/>
          <w:lang w:val="es-ES"/>
        </w:rPr>
        <w:t xml:space="preserve"> ante la conducta de la policía y su falta de intervención en la prevención de actos de violencia y en la implementación de órdenes de protección.  Por esta razón la ha calificado como uno de los mayores obstáculos al ejercicio de la debida diligencia a nivel global.  Este comportamiento promueve la impunidad, la perpetuidad y la repetición de estos delitos, y menoscaba la obligación de los Estados de ejercer la debida diligencia para prevenir delitos de violencia contra las mujeres.  Con frecuencia, esta situación se traduce en una proliferación de agresiones contra las víctimas que pueden llegar a </w:t>
      </w:r>
      <w:r w:rsidRPr="00741462">
        <w:rPr>
          <w:rFonts w:asciiTheme="majorHAnsi" w:eastAsia="Times New Roman" w:hAnsiTheme="majorHAnsi" w:cstheme="majorHAnsi"/>
          <w:color w:val="000000"/>
          <w:lang w:val="es-ES"/>
        </w:rPr>
        <w:lastRenderedPageBreak/>
        <w:t xml:space="preserve">homicidios contra las mujeres y sus hijos.  Como se ha establecido anteriormente, el deber de los Estados de actuar con la debida diligencia se extiende a acciones tanto de actores estatales y no estatales, y es particularmente crítico en casos en los que los funcionarios de los Estados tienen conocimiento de un riesgo real e inmediato de actos de violencia. </w:t>
      </w:r>
      <w:r w:rsidRPr="00741462">
        <w:rPr>
          <w:rFonts w:asciiTheme="majorHAnsi" w:hAnsiTheme="majorHAnsi" w:cstheme="majorHAnsi"/>
          <w:lang w:val="es-ES"/>
        </w:rPr>
        <w:t xml:space="preserve">CIDH, Acceso a la Justicia para Mujeres </w:t>
      </w:r>
      <w:proofErr w:type="spellStart"/>
      <w:r w:rsidRPr="00741462">
        <w:rPr>
          <w:rFonts w:asciiTheme="majorHAnsi" w:hAnsiTheme="majorHAnsi" w:cstheme="majorHAnsi"/>
          <w:lang w:val="es-ES"/>
        </w:rPr>
        <w:t>Victimas</w:t>
      </w:r>
      <w:proofErr w:type="spellEnd"/>
      <w:r w:rsidRPr="00741462">
        <w:rPr>
          <w:rFonts w:asciiTheme="majorHAnsi" w:hAnsiTheme="majorHAnsi" w:cstheme="majorHAnsi"/>
          <w:lang w:val="es-ES"/>
        </w:rPr>
        <w:t xml:space="preserve"> de violencia en las Américas 2007, párr.167</w:t>
      </w:r>
    </w:p>
    <w:p w14:paraId="6FE45634" w14:textId="77777777" w:rsidR="00A82DB1" w:rsidRPr="00741462" w:rsidRDefault="00A82DB1" w:rsidP="00A82DB1">
      <w:pPr>
        <w:jc w:val="both"/>
        <w:rPr>
          <w:rFonts w:asciiTheme="majorHAnsi" w:hAnsiTheme="majorHAnsi" w:cstheme="majorHAnsi"/>
          <w:highlight w:val="yellow"/>
          <w:lang w:val="es-ES"/>
        </w:rPr>
      </w:pPr>
    </w:p>
    <w:p w14:paraId="25CBF769" w14:textId="77777777" w:rsidR="00A82DB1" w:rsidRPr="00676E82" w:rsidRDefault="00A82DB1" w:rsidP="00A82DB1">
      <w:pPr>
        <w:jc w:val="both"/>
        <w:rPr>
          <w:rFonts w:asciiTheme="majorHAnsi" w:hAnsiTheme="majorHAnsi" w:cstheme="majorHAnsi"/>
          <w:lang w:val="es-ES"/>
        </w:rPr>
      </w:pPr>
      <w:r w:rsidRPr="00741462">
        <w:rPr>
          <w:rFonts w:asciiTheme="majorHAnsi" w:hAnsiTheme="majorHAnsi" w:cstheme="majorHAnsi"/>
          <w:lang w:val="es-ES"/>
        </w:rPr>
        <w:t xml:space="preserve">Al respecto, la jurisprudencia de la Corte ha señalado que un Estado puede ser responsable por dejar de “ordenar, practicar o valorar pruebas que hubieran sido de mucha importancia para el </w:t>
      </w:r>
      <w:r w:rsidRPr="00676E82">
        <w:rPr>
          <w:rFonts w:asciiTheme="majorHAnsi" w:hAnsiTheme="majorHAnsi" w:cstheme="majorHAnsi"/>
          <w:lang w:val="es-ES"/>
        </w:rPr>
        <w:t>debido esclarecimiento de los homicidios” Caso Campo Algodonero..., párr. 349.</w:t>
      </w:r>
      <w:r w:rsidRPr="00676E82">
        <w:rPr>
          <w:rFonts w:asciiTheme="majorHAnsi" w:hAnsiTheme="majorHAnsi" w:cstheme="majorHAnsi"/>
          <w:lang w:val="es-ES"/>
        </w:rPr>
        <w:tab/>
      </w:r>
      <w:r w:rsidRPr="00676E82">
        <w:rPr>
          <w:rFonts w:asciiTheme="majorHAnsi" w:hAnsiTheme="majorHAnsi" w:cstheme="majorHAnsi"/>
          <w:lang w:val="es-ES"/>
        </w:rPr>
        <w:tab/>
      </w:r>
      <w:r w:rsidRPr="00676E82">
        <w:rPr>
          <w:rFonts w:asciiTheme="majorHAnsi" w:hAnsiTheme="majorHAnsi" w:cstheme="majorHAnsi"/>
          <w:lang w:val="es-ES"/>
        </w:rPr>
        <w:tab/>
      </w:r>
    </w:p>
    <w:p w14:paraId="1CDF4DFD" w14:textId="77777777" w:rsidR="00A82DB1" w:rsidRPr="00741462" w:rsidRDefault="00A82DB1" w:rsidP="00A82DB1">
      <w:pPr>
        <w:jc w:val="both"/>
        <w:rPr>
          <w:rFonts w:asciiTheme="majorHAnsi" w:hAnsiTheme="majorHAnsi" w:cstheme="majorHAnsi"/>
          <w:highlight w:val="yellow"/>
        </w:rPr>
      </w:pPr>
    </w:p>
    <w:p w14:paraId="3DBFAA64" w14:textId="77777777" w:rsidR="00A82DB1" w:rsidRDefault="00A82DB1" w:rsidP="00A82DB1">
      <w:pPr>
        <w:jc w:val="both"/>
        <w:rPr>
          <w:rFonts w:asciiTheme="majorHAnsi" w:hAnsiTheme="majorHAnsi" w:cstheme="majorHAnsi"/>
        </w:rPr>
      </w:pPr>
      <w:r w:rsidRPr="00741462">
        <w:rPr>
          <w:rFonts w:asciiTheme="majorHAnsi" w:hAnsiTheme="majorHAnsi" w:cstheme="majorHAnsi"/>
        </w:rPr>
        <w:t xml:space="preserve">Por otra parte, el Tribunal observa con especial preocupación que las autoridades a cargo de la investigación centraron sus esfuerzos en citar a declarar diversas veces a la señora Rosendo Cantú, y no en la obtención y aseguramiento de otras pruebas. La Corte destaca que, en casos de violencia sexual, la investigación debe intentar evitar en lo posible la revictimización o reexperimentación de la profunda experiencia traumática cada vez que la víctima recuerda o declara sobre lo ocurrido. </w:t>
      </w:r>
    </w:p>
    <w:p w14:paraId="7CF8A31A" w14:textId="77777777" w:rsidR="00A82DB1" w:rsidRDefault="00A82DB1" w:rsidP="00A82DB1">
      <w:pPr>
        <w:jc w:val="both"/>
        <w:rPr>
          <w:rFonts w:asciiTheme="majorHAnsi" w:hAnsiTheme="majorHAnsi" w:cstheme="majorHAnsi"/>
        </w:rPr>
      </w:pPr>
      <w:r w:rsidRPr="00741462">
        <w:rPr>
          <w:rFonts w:asciiTheme="majorHAnsi" w:hAnsiTheme="majorHAnsi" w:cstheme="majorHAnsi"/>
        </w:rPr>
        <w:t>Asimismo, el Tribunal observa que en el presente caso ha concurrido la falta de voluntad, sensibilidad y capacidad de varios de los servidores públicos que intervinieron inicialmente en la denuncia realizada por la señora Rosendo Cantú. Asimismo, la falta de utilización de un protocolo de acción por parte del personal de salud estatal y del Ministerio Público que inicialmente atendieron a la señora Rosendo Cantú, fue especialmente grave y tuvo consecuencias negativas en la atención debida a la víctima y en la investigación legal de la violación. Sobre este aspecto, la Corte destaca lo señalado por la perita Arroyo Vargas, durante la audiencia pública del caso, respecto de que en “caso[s] de violencia sexual, los estándares mínimos [de recopilación de pruebas] tiene[n] que ser la inmediatez y la celeridad”</w:t>
      </w:r>
    </w:p>
    <w:p w14:paraId="5A44E4A9" w14:textId="77777777" w:rsidR="006E7C9A" w:rsidRPr="00741462" w:rsidRDefault="006E7C9A" w:rsidP="00A82DB1">
      <w:pPr>
        <w:jc w:val="both"/>
        <w:rPr>
          <w:rFonts w:asciiTheme="majorHAnsi" w:hAnsiTheme="majorHAnsi" w:cstheme="majorHAnsi"/>
        </w:rPr>
      </w:pPr>
    </w:p>
    <w:p w14:paraId="4E33728F" w14:textId="77777777" w:rsidR="0041692C" w:rsidRDefault="00A82DB1" w:rsidP="00A82DB1">
      <w:pPr>
        <w:jc w:val="both"/>
        <w:rPr>
          <w:rFonts w:asciiTheme="majorHAnsi" w:hAnsiTheme="majorHAnsi" w:cstheme="majorHAnsi"/>
          <w:lang w:val="es-ES"/>
        </w:rPr>
      </w:pPr>
      <w:r>
        <w:rPr>
          <w:rFonts w:asciiTheme="majorHAnsi" w:hAnsiTheme="majorHAnsi" w:cstheme="majorHAnsi"/>
          <w:lang w:val="es-ES"/>
        </w:rPr>
        <w:t xml:space="preserve">(…) </w:t>
      </w:r>
      <w:r w:rsidRPr="00741462">
        <w:rPr>
          <w:rFonts w:asciiTheme="majorHAnsi" w:hAnsiTheme="majorHAnsi" w:cstheme="majorHAnsi"/>
        </w:rPr>
        <w:t>la Corte Interamericana concluye que las autoridades estatales no actuaron con la debida diligencia en la investigación de la violación sexual de la señora Rosendo Cantú, la cual, además, excedió un plazo razonable. Por ello, el Estado violó los derechos a las garantías judiciales y a la protección judicial previstos en los artículos 8.1 y 25.1 de la Convención Americana, en relación con el artículo 1.1 de la misma e incumplió el deber establecido en el artículo 7.b de la Convención Interamericana para Prevenir, Sancionar y Erradicar la Violencia contra la Mujer, en perjuicio de la señora Rosendo Cantú.252</w:t>
      </w:r>
      <w:r w:rsidRPr="00741462">
        <w:rPr>
          <w:rFonts w:asciiTheme="majorHAnsi" w:hAnsiTheme="majorHAnsi" w:cstheme="majorHAnsi"/>
          <w:lang w:val="es-ES"/>
        </w:rPr>
        <w:t xml:space="preserve"> Rosendo </w:t>
      </w:r>
      <w:proofErr w:type="spellStart"/>
      <w:r w:rsidRPr="00741462">
        <w:rPr>
          <w:rFonts w:asciiTheme="majorHAnsi" w:hAnsiTheme="majorHAnsi" w:cstheme="majorHAnsi"/>
          <w:lang w:val="es-ES"/>
        </w:rPr>
        <w:t>cantu</w:t>
      </w:r>
      <w:proofErr w:type="spellEnd"/>
      <w:r w:rsidRPr="00741462">
        <w:rPr>
          <w:rFonts w:asciiTheme="majorHAnsi" w:hAnsiTheme="majorHAnsi" w:cstheme="majorHAnsi"/>
          <w:lang w:val="es-ES"/>
        </w:rPr>
        <w:t xml:space="preserve"> 2010 </w:t>
      </w:r>
      <w:r>
        <w:rPr>
          <w:rFonts w:asciiTheme="majorHAnsi" w:hAnsiTheme="majorHAnsi" w:cstheme="majorHAnsi"/>
          <w:lang w:val="es-ES"/>
        </w:rPr>
        <w:t xml:space="preserve"> </w:t>
      </w:r>
      <w:proofErr w:type="spellStart"/>
      <w:r>
        <w:rPr>
          <w:rFonts w:asciiTheme="majorHAnsi" w:hAnsiTheme="majorHAnsi" w:cstheme="majorHAnsi"/>
          <w:lang w:val="es-ES"/>
        </w:rPr>
        <w:t>parr</w:t>
      </w:r>
      <w:proofErr w:type="spellEnd"/>
      <w:r>
        <w:rPr>
          <w:rFonts w:asciiTheme="majorHAnsi" w:hAnsiTheme="majorHAnsi" w:cstheme="majorHAnsi"/>
          <w:lang w:val="es-ES"/>
        </w:rPr>
        <w:t xml:space="preserve"> 180 a 182.</w:t>
      </w:r>
      <w:r w:rsidRPr="00741462">
        <w:rPr>
          <w:rFonts w:asciiTheme="majorHAnsi" w:hAnsiTheme="majorHAnsi" w:cstheme="majorHAnsi"/>
          <w:lang w:val="es-ES"/>
        </w:rPr>
        <w:tab/>
      </w:r>
    </w:p>
    <w:p w14:paraId="0AD6DC57" w14:textId="1AA88643" w:rsidR="00F96F52" w:rsidRDefault="00A82DB1" w:rsidP="00A82DB1">
      <w:pPr>
        <w:jc w:val="both"/>
        <w:rPr>
          <w:rFonts w:asciiTheme="majorHAnsi" w:hAnsiTheme="majorHAnsi" w:cstheme="majorHAnsi"/>
          <w:lang w:val="es-ES"/>
        </w:rPr>
      </w:pPr>
      <w:r w:rsidRPr="00741462">
        <w:rPr>
          <w:rFonts w:asciiTheme="majorHAnsi" w:hAnsiTheme="majorHAnsi" w:cstheme="majorHAnsi"/>
          <w:lang w:val="es-ES"/>
        </w:rPr>
        <w:tab/>
      </w:r>
    </w:p>
    <w:p w14:paraId="0BB631E5" w14:textId="77777777" w:rsidR="00F96F52" w:rsidRDefault="00F96F52" w:rsidP="00A82DB1">
      <w:pPr>
        <w:jc w:val="both"/>
        <w:rPr>
          <w:rFonts w:asciiTheme="majorHAnsi" w:hAnsiTheme="majorHAnsi" w:cstheme="majorHAnsi"/>
          <w:lang w:val="es-ES"/>
        </w:rPr>
      </w:pPr>
    </w:p>
    <w:p w14:paraId="67A4C813" w14:textId="3FADF205" w:rsidR="00F96F52" w:rsidRPr="0041692C" w:rsidRDefault="00F96F52" w:rsidP="006E7C9A">
      <w:pPr>
        <w:pStyle w:val="Prrafodelista"/>
        <w:numPr>
          <w:ilvl w:val="0"/>
          <w:numId w:val="5"/>
        </w:numPr>
        <w:ind w:left="426" w:hanging="480"/>
        <w:jc w:val="center"/>
        <w:rPr>
          <w:rFonts w:asciiTheme="majorHAnsi" w:hAnsiTheme="majorHAnsi" w:cstheme="majorHAnsi"/>
          <w:b/>
          <w:bCs/>
          <w:lang w:val="es-ES"/>
        </w:rPr>
      </w:pPr>
      <w:r w:rsidRPr="0041692C">
        <w:rPr>
          <w:rFonts w:asciiTheme="majorHAnsi" w:hAnsiTheme="majorHAnsi" w:cstheme="majorHAnsi"/>
          <w:b/>
          <w:bCs/>
          <w:lang w:val="es-ES"/>
        </w:rPr>
        <w:lastRenderedPageBreak/>
        <w:t>REFERENCIAS EN LA CONSTITUCIÓN DEL ECUADOR 2008 Y LA LEY ORGÁNICA INTEGRAL PARA LA PREVENCIÓN Y ERRADICACIÓN DE LA VIOLENCIA DE GÉNERO CONTRA LAS MUJERES 2016</w:t>
      </w:r>
    </w:p>
    <w:p w14:paraId="07687922" w14:textId="200513BE" w:rsidR="00F96F52" w:rsidRPr="006E7C9A" w:rsidRDefault="00F96F52" w:rsidP="006E7C9A">
      <w:pPr>
        <w:rPr>
          <w:rFonts w:asciiTheme="majorHAnsi" w:hAnsiTheme="majorHAnsi" w:cstheme="majorHAnsi"/>
          <w:b/>
          <w:bCs/>
          <w:lang w:val="es-ES"/>
        </w:rPr>
      </w:pPr>
      <w:r w:rsidRPr="00FB0E1E">
        <w:rPr>
          <w:rFonts w:asciiTheme="majorHAnsi" w:hAnsiTheme="majorHAnsi" w:cstheme="majorHAnsi"/>
          <w:b/>
          <w:bCs/>
          <w:lang w:val="es-ES"/>
        </w:rPr>
        <w:t xml:space="preserve"> </w:t>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r w:rsidRPr="004744F9">
        <w:rPr>
          <w:rFonts w:asciiTheme="majorHAnsi" w:hAnsiTheme="majorHAnsi" w:cstheme="majorHAnsi"/>
          <w:lang w:val="es-ES"/>
        </w:rPr>
        <w:tab/>
      </w:r>
    </w:p>
    <w:p w14:paraId="4DFBD1FC" w14:textId="77777777" w:rsidR="00F96F52" w:rsidRPr="009E23E3" w:rsidRDefault="00F96F52" w:rsidP="00F96F52">
      <w:pPr>
        <w:jc w:val="both"/>
        <w:rPr>
          <w:rFonts w:asciiTheme="majorHAnsi" w:hAnsiTheme="majorHAnsi" w:cstheme="majorHAnsi"/>
          <w:lang w:val="es-ES"/>
        </w:rPr>
      </w:pPr>
      <w:r w:rsidRPr="009E23E3">
        <w:rPr>
          <w:rFonts w:asciiTheme="majorHAnsi" w:hAnsiTheme="majorHAnsi" w:cstheme="majorHAnsi"/>
          <w:lang w:val="es-ES"/>
        </w:rPr>
        <w:t>CRE, Art. 35.- 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p>
    <w:p w14:paraId="1504304B" w14:textId="77777777" w:rsidR="00F96F52" w:rsidRPr="009E23E3" w:rsidRDefault="00F96F52" w:rsidP="00F96F52">
      <w:pPr>
        <w:jc w:val="both"/>
        <w:rPr>
          <w:rFonts w:asciiTheme="majorHAnsi" w:hAnsiTheme="majorHAnsi" w:cstheme="majorHAnsi"/>
          <w:lang w:val="es-ES"/>
        </w:rPr>
      </w:pPr>
    </w:p>
    <w:p w14:paraId="5CBD5E2C" w14:textId="77777777" w:rsidR="00F96F52" w:rsidRPr="009E23E3" w:rsidRDefault="00F96F52" w:rsidP="00F96F52">
      <w:pPr>
        <w:jc w:val="both"/>
        <w:rPr>
          <w:rFonts w:asciiTheme="majorHAnsi" w:hAnsiTheme="majorHAnsi" w:cstheme="majorHAnsi"/>
          <w:lang w:val="es-ES"/>
        </w:rPr>
      </w:pPr>
      <w:r w:rsidRPr="009E23E3">
        <w:rPr>
          <w:rFonts w:asciiTheme="majorHAnsi" w:hAnsiTheme="majorHAnsi" w:cstheme="majorHAnsi"/>
          <w:lang w:val="es-ES"/>
        </w:rPr>
        <w:t>CRE, Art. 66. Se reconoce y garantizará a las personas: 1. El derecho a la inviolabilidad de la vida. (…). 3. El derecho a la integridad personal, que incluye: a) La integridad física, psíquica, moral y sexual. b) Una vida libre de violencia en el ámbito público y privado. El Estado adoptará las medidas necesarias para prevenir, eliminar y sancionar toda forma de violencia, en especial la ejercida contra las mujeres, (…); idénticas medidas se tomarán contra la violencia, la esclavitud y la explotación sexual.</w:t>
      </w:r>
    </w:p>
    <w:p w14:paraId="67D2AF46" w14:textId="77777777" w:rsidR="00F96F52" w:rsidRPr="009E23E3" w:rsidRDefault="00F96F52" w:rsidP="00F96F52">
      <w:pPr>
        <w:jc w:val="both"/>
        <w:rPr>
          <w:rFonts w:asciiTheme="majorHAnsi" w:hAnsiTheme="majorHAnsi" w:cstheme="majorHAnsi"/>
          <w:lang w:val="es-ES"/>
        </w:rPr>
      </w:pPr>
    </w:p>
    <w:p w14:paraId="189B02D9" w14:textId="77777777" w:rsidR="00F96F52" w:rsidRDefault="00F96F52" w:rsidP="00F96F52">
      <w:pPr>
        <w:jc w:val="both"/>
        <w:rPr>
          <w:rFonts w:asciiTheme="majorHAnsi" w:hAnsiTheme="majorHAnsi" w:cstheme="majorHAnsi"/>
          <w:lang w:val="es-ES"/>
        </w:rPr>
      </w:pPr>
      <w:r w:rsidRPr="009E23E3">
        <w:rPr>
          <w:rFonts w:asciiTheme="majorHAnsi" w:hAnsiTheme="majorHAnsi" w:cstheme="majorHAnsi"/>
          <w:lang w:val="es-ES"/>
        </w:rPr>
        <w:t>CRE, Art. 163.- La Policía Nacional es una institución estatal de carácter civil, armada, técnica, jerarquizada, disciplinada, profesional y altamente especializada, cuya misión es atender la seguridad ciudadana y el orden público, y proteger el libre ejercicio de los derechos y la seguridad de las personas dentro del territorio nacional.</w:t>
      </w:r>
    </w:p>
    <w:p w14:paraId="0DC90053" w14:textId="77777777" w:rsidR="00F96F52" w:rsidRDefault="00F96F52" w:rsidP="00F96F52">
      <w:pPr>
        <w:jc w:val="both"/>
        <w:rPr>
          <w:rFonts w:asciiTheme="majorHAnsi" w:hAnsiTheme="majorHAnsi" w:cstheme="majorHAnsi"/>
          <w:lang w:val="es-ES"/>
        </w:rPr>
      </w:pPr>
    </w:p>
    <w:p w14:paraId="731E1A2F" w14:textId="77777777" w:rsidR="00F96F52" w:rsidRPr="009E23E3" w:rsidRDefault="00F96F52" w:rsidP="00F96F52">
      <w:pPr>
        <w:jc w:val="both"/>
        <w:rPr>
          <w:rFonts w:asciiTheme="majorHAnsi" w:hAnsiTheme="majorHAnsi" w:cstheme="majorHAnsi"/>
          <w:lang w:val="es-ES"/>
        </w:rPr>
      </w:pPr>
      <w:r w:rsidRPr="009E23E3">
        <w:rPr>
          <w:rFonts w:asciiTheme="majorHAnsi" w:hAnsiTheme="majorHAnsi" w:cstheme="majorHAnsi"/>
          <w:lang w:val="es-ES"/>
        </w:rPr>
        <w:t>CRE, Art. 363.- El Estado será responsable de: (…) 5. Brindar cuidado especializado a los grupos de atención prioritaria establecidos en la Constitución. (…).</w:t>
      </w:r>
    </w:p>
    <w:p w14:paraId="64DF7974" w14:textId="77777777" w:rsidR="00F96F52" w:rsidRPr="00741462" w:rsidRDefault="00F96F52" w:rsidP="00F96F52">
      <w:pPr>
        <w:jc w:val="both"/>
        <w:rPr>
          <w:rFonts w:asciiTheme="majorHAnsi" w:hAnsiTheme="majorHAnsi" w:cstheme="majorHAnsi"/>
          <w:lang w:val="es-ES"/>
        </w:rPr>
      </w:pPr>
    </w:p>
    <w:p w14:paraId="6C43450F" w14:textId="77777777" w:rsidR="00F96F52" w:rsidRPr="00741462" w:rsidRDefault="00F96F52" w:rsidP="00F96F52">
      <w:pPr>
        <w:autoSpaceDE w:val="0"/>
        <w:autoSpaceDN w:val="0"/>
        <w:adjustRightInd w:val="0"/>
        <w:jc w:val="both"/>
        <w:rPr>
          <w:rFonts w:asciiTheme="majorHAnsi" w:hAnsiTheme="majorHAnsi" w:cstheme="majorHAnsi"/>
          <w:lang w:val="es-ES"/>
        </w:rPr>
      </w:pPr>
      <w:r w:rsidRPr="00741462">
        <w:rPr>
          <w:rFonts w:asciiTheme="majorHAnsi" w:hAnsiTheme="majorHAnsi" w:cstheme="majorHAnsi"/>
          <w:lang w:val="es-ES"/>
        </w:rPr>
        <w:t>LOIPEVCM, Art. 9.- Derechos de las mujeres. Las mujeres (…) tienen derecho (…): (…) 15. Al auxilio inmediato de la fuerza pública en el momento que las víctimas lo soliciten; (…).</w:t>
      </w:r>
    </w:p>
    <w:p w14:paraId="6BBD3C32" w14:textId="77777777" w:rsidR="00F96F52" w:rsidRPr="00741462" w:rsidRDefault="00F96F52" w:rsidP="00F96F52">
      <w:pPr>
        <w:jc w:val="both"/>
        <w:rPr>
          <w:rFonts w:asciiTheme="majorHAnsi" w:hAnsiTheme="majorHAnsi" w:cstheme="majorHAnsi"/>
          <w:lang w:val="es-ES"/>
        </w:rPr>
      </w:pPr>
    </w:p>
    <w:p w14:paraId="55BB2BCB" w14:textId="77777777" w:rsidR="00F96F52" w:rsidRPr="00741462" w:rsidRDefault="00F96F52" w:rsidP="00F96F52">
      <w:pPr>
        <w:autoSpaceDE w:val="0"/>
        <w:autoSpaceDN w:val="0"/>
        <w:adjustRightInd w:val="0"/>
        <w:jc w:val="both"/>
        <w:rPr>
          <w:rFonts w:asciiTheme="majorHAnsi" w:hAnsiTheme="majorHAnsi" w:cstheme="majorHAnsi"/>
          <w:lang w:val="es-ES"/>
        </w:rPr>
      </w:pPr>
      <w:r w:rsidRPr="00741462">
        <w:rPr>
          <w:rFonts w:asciiTheme="majorHAnsi" w:hAnsiTheme="majorHAnsi" w:cstheme="majorHAnsi"/>
          <w:lang w:val="es-ES"/>
        </w:rPr>
        <w:t xml:space="preserve">LOIPEVCM, Art. 10.- Tipos de violencia. Para efectos de aplicación de la presente Ley (…), se consideran los siguientes tipos de violencia: a) Violencia </w:t>
      </w:r>
      <w:proofErr w:type="gramStart"/>
      <w:r w:rsidRPr="00741462">
        <w:rPr>
          <w:rFonts w:asciiTheme="majorHAnsi" w:hAnsiTheme="majorHAnsi" w:cstheme="majorHAnsi"/>
          <w:lang w:val="es-ES"/>
        </w:rPr>
        <w:t>física.-</w:t>
      </w:r>
      <w:proofErr w:type="gramEnd"/>
      <w:r w:rsidRPr="00741462">
        <w:rPr>
          <w:rFonts w:asciiTheme="majorHAnsi" w:hAnsiTheme="majorHAnsi" w:cstheme="majorHAnsi"/>
          <w:lang w:val="es-ES"/>
        </w:rPr>
        <w:t xml:space="preserve"> Todo acto u omisión que produzca o pudiese producir daño o sufrimiento físico, dolor o muerte, (…). b) Violencia </w:t>
      </w:r>
      <w:proofErr w:type="gramStart"/>
      <w:r w:rsidRPr="00741462">
        <w:rPr>
          <w:rFonts w:asciiTheme="majorHAnsi" w:hAnsiTheme="majorHAnsi" w:cstheme="majorHAnsi"/>
          <w:lang w:val="es-ES"/>
        </w:rPr>
        <w:t>psicológica.-</w:t>
      </w:r>
      <w:proofErr w:type="gramEnd"/>
      <w:r w:rsidRPr="00741462">
        <w:rPr>
          <w:rFonts w:asciiTheme="majorHAnsi" w:hAnsiTheme="majorHAnsi" w:cstheme="majorHAnsi"/>
          <w:lang w:val="es-ES"/>
        </w:rPr>
        <w:t xml:space="preserve"> Cualquier acción, omisión o patrón de conducta dirigido a causar daño emocional, (…). c) Violencia </w:t>
      </w:r>
      <w:proofErr w:type="gramStart"/>
      <w:r w:rsidRPr="00741462">
        <w:rPr>
          <w:rFonts w:asciiTheme="majorHAnsi" w:hAnsiTheme="majorHAnsi" w:cstheme="majorHAnsi"/>
          <w:lang w:val="es-ES"/>
        </w:rPr>
        <w:t>sexual.-</w:t>
      </w:r>
      <w:proofErr w:type="gramEnd"/>
      <w:r w:rsidRPr="00741462">
        <w:rPr>
          <w:rFonts w:asciiTheme="majorHAnsi" w:hAnsiTheme="majorHAnsi" w:cstheme="majorHAnsi"/>
          <w:lang w:val="es-ES"/>
        </w:rPr>
        <w:t xml:space="preserve"> Toda acción que implique la vulneración o restricción del derecho a la integridad sexual y</w:t>
      </w:r>
    </w:p>
    <w:p w14:paraId="088BFEAA" w14:textId="77777777" w:rsidR="00F96F52" w:rsidRPr="00741462" w:rsidRDefault="00F96F52" w:rsidP="00F96F52">
      <w:pPr>
        <w:autoSpaceDE w:val="0"/>
        <w:autoSpaceDN w:val="0"/>
        <w:adjustRightInd w:val="0"/>
        <w:jc w:val="both"/>
        <w:rPr>
          <w:rFonts w:asciiTheme="majorHAnsi" w:hAnsiTheme="majorHAnsi" w:cstheme="majorHAnsi"/>
          <w:lang w:val="es-ES"/>
        </w:rPr>
      </w:pPr>
      <w:r w:rsidRPr="00741462">
        <w:rPr>
          <w:rFonts w:asciiTheme="majorHAnsi" w:hAnsiTheme="majorHAnsi" w:cstheme="majorHAnsi"/>
          <w:lang w:val="es-ES"/>
        </w:rPr>
        <w:t xml:space="preserve">a decidir voluntariamente sobre su vida sexual y reproductiva, (…). d) Violencia económica y </w:t>
      </w:r>
      <w:proofErr w:type="gramStart"/>
      <w:r w:rsidRPr="00741462">
        <w:rPr>
          <w:rFonts w:asciiTheme="majorHAnsi" w:hAnsiTheme="majorHAnsi" w:cstheme="majorHAnsi"/>
          <w:lang w:val="es-ES"/>
        </w:rPr>
        <w:t>patrimonial.-</w:t>
      </w:r>
      <w:proofErr w:type="gramEnd"/>
      <w:r w:rsidRPr="00741462">
        <w:rPr>
          <w:rFonts w:asciiTheme="majorHAnsi" w:hAnsiTheme="majorHAnsi" w:cstheme="majorHAnsi"/>
          <w:lang w:val="es-ES"/>
        </w:rPr>
        <w:t xml:space="preserve"> Es toda acción u omisión que se dirija a ocasionar un menoscabo en los recursos</w:t>
      </w:r>
    </w:p>
    <w:p w14:paraId="7DB57328" w14:textId="77777777" w:rsidR="00F96F52" w:rsidRPr="00741462" w:rsidRDefault="00F96F52" w:rsidP="00F96F52">
      <w:pPr>
        <w:autoSpaceDE w:val="0"/>
        <w:autoSpaceDN w:val="0"/>
        <w:adjustRightInd w:val="0"/>
        <w:jc w:val="both"/>
        <w:rPr>
          <w:rFonts w:asciiTheme="majorHAnsi" w:hAnsiTheme="majorHAnsi" w:cstheme="majorHAnsi"/>
          <w:lang w:val="es-ES"/>
        </w:rPr>
      </w:pPr>
      <w:r w:rsidRPr="00741462">
        <w:rPr>
          <w:rFonts w:asciiTheme="majorHAnsi" w:hAnsiTheme="majorHAnsi" w:cstheme="majorHAnsi"/>
          <w:lang w:val="es-ES"/>
        </w:rPr>
        <w:t xml:space="preserve">económicos y patrimoniales de las mujeres, (…). e) Violencia </w:t>
      </w:r>
      <w:proofErr w:type="gramStart"/>
      <w:r w:rsidRPr="00741462">
        <w:rPr>
          <w:rFonts w:asciiTheme="majorHAnsi" w:hAnsiTheme="majorHAnsi" w:cstheme="majorHAnsi"/>
          <w:lang w:val="es-ES"/>
        </w:rPr>
        <w:t>simbólica.-</w:t>
      </w:r>
      <w:proofErr w:type="gramEnd"/>
      <w:r w:rsidRPr="00741462">
        <w:rPr>
          <w:rFonts w:asciiTheme="majorHAnsi" w:hAnsiTheme="majorHAnsi" w:cstheme="majorHAnsi"/>
          <w:lang w:val="es-ES"/>
        </w:rPr>
        <w:t xml:space="preserve"> Es toda conducta que, a través de la producción o reproducción de mensajes, (…) transmiten, reproducen </w:t>
      </w:r>
      <w:r w:rsidRPr="00741462">
        <w:rPr>
          <w:rFonts w:asciiTheme="majorHAnsi" w:hAnsiTheme="majorHAnsi" w:cstheme="majorHAnsi"/>
          <w:lang w:val="es-ES"/>
        </w:rPr>
        <w:lastRenderedPageBreak/>
        <w:t xml:space="preserve">y consolidan relaciones de dominación, (…), naturalizando la subordinación de las mujeres. f) Violencia </w:t>
      </w:r>
      <w:proofErr w:type="gramStart"/>
      <w:r w:rsidRPr="00741462">
        <w:rPr>
          <w:rFonts w:asciiTheme="majorHAnsi" w:hAnsiTheme="majorHAnsi" w:cstheme="majorHAnsi"/>
          <w:lang w:val="es-ES"/>
        </w:rPr>
        <w:t>política.-</w:t>
      </w:r>
      <w:proofErr w:type="gramEnd"/>
      <w:r w:rsidRPr="00741462">
        <w:rPr>
          <w:rFonts w:asciiTheme="majorHAnsi" w:hAnsiTheme="majorHAnsi" w:cstheme="majorHAnsi"/>
          <w:lang w:val="es-ES"/>
        </w:rPr>
        <w:t xml:space="preserve"> (…). Esta violencia se orienta a acortar, suspender, impedir o restringir su accionar o el ejercicio de su cargo, o incurra en una omisión, en el cumplimiento de sus funciones públicas. g) Violencia </w:t>
      </w:r>
      <w:proofErr w:type="spellStart"/>
      <w:proofErr w:type="gramStart"/>
      <w:r w:rsidRPr="00741462">
        <w:rPr>
          <w:rFonts w:asciiTheme="majorHAnsi" w:hAnsiTheme="majorHAnsi" w:cstheme="majorHAnsi"/>
          <w:lang w:val="es-ES"/>
        </w:rPr>
        <w:t>ginecoobstétrica</w:t>
      </w:r>
      <w:proofErr w:type="spellEnd"/>
      <w:r w:rsidRPr="00741462">
        <w:rPr>
          <w:rFonts w:asciiTheme="majorHAnsi" w:hAnsiTheme="majorHAnsi" w:cstheme="majorHAnsi"/>
          <w:lang w:val="es-ES"/>
        </w:rPr>
        <w:t>.-</w:t>
      </w:r>
      <w:proofErr w:type="gramEnd"/>
      <w:r w:rsidRPr="00741462">
        <w:rPr>
          <w:rFonts w:asciiTheme="majorHAnsi" w:hAnsiTheme="majorHAnsi" w:cstheme="majorHAnsi"/>
          <w:lang w:val="es-ES"/>
        </w:rPr>
        <w:t xml:space="preserve"> Se considera a toda acción u omisión que limite el derecho de las mujeres embarazadas o no, a recibir servicios de salud gineco-obstétricos. (…).</w:t>
      </w:r>
    </w:p>
    <w:p w14:paraId="350FB699" w14:textId="77777777" w:rsidR="00F96F52" w:rsidRDefault="00F96F52" w:rsidP="00F96F52">
      <w:pPr>
        <w:autoSpaceDE w:val="0"/>
        <w:autoSpaceDN w:val="0"/>
        <w:adjustRightInd w:val="0"/>
        <w:jc w:val="both"/>
        <w:rPr>
          <w:rFonts w:asciiTheme="majorHAnsi" w:hAnsiTheme="majorHAnsi" w:cstheme="majorHAnsi"/>
          <w:lang w:val="es-ES"/>
        </w:rPr>
      </w:pPr>
    </w:p>
    <w:p w14:paraId="36DCE92B" w14:textId="77777777" w:rsidR="00F96F52" w:rsidRDefault="00F96F52" w:rsidP="00F96F52">
      <w:pPr>
        <w:autoSpaceDE w:val="0"/>
        <w:autoSpaceDN w:val="0"/>
        <w:adjustRightInd w:val="0"/>
        <w:jc w:val="both"/>
        <w:rPr>
          <w:rFonts w:asciiTheme="majorHAnsi" w:hAnsiTheme="majorHAnsi" w:cstheme="majorHAnsi"/>
          <w:lang w:val="es-ES"/>
        </w:rPr>
      </w:pPr>
      <w:r w:rsidRPr="00741462">
        <w:rPr>
          <w:rFonts w:asciiTheme="majorHAnsi" w:hAnsiTheme="majorHAnsi" w:cstheme="majorHAnsi"/>
          <w:lang w:val="es-ES"/>
        </w:rPr>
        <w:t>LOIPEVCM, Art. 15.-Principios del Sistema. El Sistema Nacional</w:t>
      </w:r>
      <w:r>
        <w:rPr>
          <w:rFonts w:asciiTheme="majorHAnsi" w:hAnsiTheme="majorHAnsi" w:cstheme="majorHAnsi"/>
          <w:lang w:val="es-ES"/>
        </w:rPr>
        <w:t xml:space="preserve"> </w:t>
      </w:r>
      <w:r w:rsidRPr="00741462">
        <w:rPr>
          <w:rFonts w:asciiTheme="majorHAnsi" w:hAnsiTheme="majorHAnsi" w:cstheme="majorHAnsi"/>
          <w:lang w:val="es-ES"/>
        </w:rPr>
        <w:t>Integral para la Prevención y Erradicación de la Violencia</w:t>
      </w:r>
      <w:r>
        <w:rPr>
          <w:rFonts w:asciiTheme="majorHAnsi" w:hAnsiTheme="majorHAnsi" w:cstheme="majorHAnsi"/>
          <w:lang w:val="es-ES"/>
        </w:rPr>
        <w:t xml:space="preserve"> </w:t>
      </w:r>
      <w:r w:rsidRPr="00741462">
        <w:rPr>
          <w:rFonts w:asciiTheme="majorHAnsi" w:hAnsiTheme="majorHAnsi" w:cstheme="majorHAnsi"/>
          <w:lang w:val="es-ES"/>
        </w:rPr>
        <w:t>contra las mujeres (…), se soporta entre otros, en los siguientes</w:t>
      </w:r>
      <w:r>
        <w:rPr>
          <w:rFonts w:asciiTheme="majorHAnsi" w:hAnsiTheme="majorHAnsi" w:cstheme="majorHAnsi"/>
          <w:lang w:val="es-ES"/>
        </w:rPr>
        <w:t xml:space="preserve"> </w:t>
      </w:r>
      <w:r w:rsidRPr="00741462">
        <w:rPr>
          <w:rFonts w:asciiTheme="majorHAnsi" w:hAnsiTheme="majorHAnsi" w:cstheme="majorHAnsi"/>
          <w:lang w:val="es-ES"/>
        </w:rPr>
        <w:t xml:space="preserve">principios: (…) 3. </w:t>
      </w:r>
      <w:proofErr w:type="gramStart"/>
      <w:r w:rsidRPr="00741462">
        <w:rPr>
          <w:rFonts w:asciiTheme="majorHAnsi" w:hAnsiTheme="majorHAnsi" w:cstheme="majorHAnsi"/>
          <w:lang w:val="es-ES"/>
        </w:rPr>
        <w:t>Confidencialidad.-</w:t>
      </w:r>
      <w:proofErr w:type="gramEnd"/>
      <w:r w:rsidRPr="00741462">
        <w:rPr>
          <w:rFonts w:asciiTheme="majorHAnsi" w:hAnsiTheme="majorHAnsi" w:cstheme="majorHAnsi"/>
          <w:lang w:val="es-ES"/>
        </w:rPr>
        <w:t xml:space="preserve"> Nadie podrá utilizar</w:t>
      </w:r>
      <w:r>
        <w:rPr>
          <w:rFonts w:asciiTheme="majorHAnsi" w:hAnsiTheme="majorHAnsi" w:cstheme="majorHAnsi"/>
          <w:lang w:val="es-ES"/>
        </w:rPr>
        <w:t xml:space="preserve"> </w:t>
      </w:r>
      <w:r w:rsidRPr="00741462">
        <w:rPr>
          <w:rFonts w:asciiTheme="majorHAnsi" w:hAnsiTheme="majorHAnsi" w:cstheme="majorHAnsi"/>
          <w:lang w:val="es-ES"/>
        </w:rPr>
        <w:t>públicamente la información, antecedentes personales o el</w:t>
      </w:r>
      <w:r>
        <w:rPr>
          <w:rFonts w:asciiTheme="majorHAnsi" w:hAnsiTheme="majorHAnsi" w:cstheme="majorHAnsi"/>
          <w:lang w:val="es-ES"/>
        </w:rPr>
        <w:t xml:space="preserve"> </w:t>
      </w:r>
      <w:r w:rsidRPr="00741462">
        <w:rPr>
          <w:rFonts w:asciiTheme="majorHAnsi" w:hAnsiTheme="majorHAnsi" w:cstheme="majorHAnsi"/>
          <w:lang w:val="es-ES"/>
        </w:rPr>
        <w:t>pasado judicial de la víctima para responsabilizarla por la</w:t>
      </w:r>
      <w:r>
        <w:rPr>
          <w:rFonts w:asciiTheme="majorHAnsi" w:hAnsiTheme="majorHAnsi" w:cstheme="majorHAnsi"/>
          <w:lang w:val="es-ES"/>
        </w:rPr>
        <w:t xml:space="preserve"> </w:t>
      </w:r>
      <w:r w:rsidRPr="00741462">
        <w:rPr>
          <w:rFonts w:asciiTheme="majorHAnsi" w:hAnsiTheme="majorHAnsi" w:cstheme="majorHAnsi"/>
          <w:lang w:val="es-ES"/>
        </w:rPr>
        <w:t>vulneración de sus derechos. La estigmatización, el prejuicio y las consideraciones de tipo subjetivo quedan prohibidos.</w:t>
      </w:r>
      <w:r>
        <w:rPr>
          <w:rFonts w:asciiTheme="majorHAnsi" w:hAnsiTheme="majorHAnsi" w:cstheme="majorHAnsi"/>
          <w:lang w:val="es-ES"/>
        </w:rPr>
        <w:t xml:space="preserve"> </w:t>
      </w:r>
      <w:r w:rsidRPr="00741462">
        <w:rPr>
          <w:rFonts w:asciiTheme="majorHAnsi" w:hAnsiTheme="majorHAnsi" w:cstheme="majorHAnsi"/>
          <w:lang w:val="es-ES"/>
        </w:rPr>
        <w:t>Se deberá guardar confidencialidad sobre los asuntos que se</w:t>
      </w:r>
      <w:r>
        <w:rPr>
          <w:rFonts w:asciiTheme="majorHAnsi" w:hAnsiTheme="majorHAnsi" w:cstheme="majorHAnsi"/>
          <w:lang w:val="es-ES"/>
        </w:rPr>
        <w:t xml:space="preserve"> </w:t>
      </w:r>
      <w:r w:rsidRPr="00741462">
        <w:rPr>
          <w:rFonts w:asciiTheme="majorHAnsi" w:hAnsiTheme="majorHAnsi" w:cstheme="majorHAnsi"/>
          <w:lang w:val="es-ES"/>
        </w:rPr>
        <w:t>someten a su conocimiento. Las mujeres, en consideración a su</w:t>
      </w:r>
      <w:r>
        <w:rPr>
          <w:rFonts w:asciiTheme="majorHAnsi" w:hAnsiTheme="majorHAnsi" w:cstheme="majorHAnsi"/>
          <w:lang w:val="es-ES"/>
        </w:rPr>
        <w:t xml:space="preserve"> </w:t>
      </w:r>
      <w:r w:rsidRPr="00741462">
        <w:rPr>
          <w:rFonts w:asciiTheme="majorHAnsi" w:hAnsiTheme="majorHAnsi" w:cstheme="majorHAnsi"/>
          <w:lang w:val="es-ES"/>
        </w:rPr>
        <w:t>propio interés, pueden hacer público su caso. Este principio no</w:t>
      </w:r>
      <w:r>
        <w:rPr>
          <w:rFonts w:asciiTheme="majorHAnsi" w:hAnsiTheme="majorHAnsi" w:cstheme="majorHAnsi"/>
          <w:lang w:val="es-ES"/>
        </w:rPr>
        <w:t xml:space="preserve"> </w:t>
      </w:r>
      <w:r w:rsidRPr="00741462">
        <w:rPr>
          <w:rFonts w:asciiTheme="majorHAnsi" w:hAnsiTheme="majorHAnsi" w:cstheme="majorHAnsi"/>
          <w:lang w:val="es-ES"/>
        </w:rPr>
        <w:t>impedirá que servidores públicos denuncien los actos de violencia</w:t>
      </w:r>
      <w:r>
        <w:rPr>
          <w:rFonts w:asciiTheme="majorHAnsi" w:hAnsiTheme="majorHAnsi" w:cstheme="majorHAnsi"/>
          <w:lang w:val="es-ES"/>
        </w:rPr>
        <w:t xml:space="preserve"> </w:t>
      </w:r>
      <w:r w:rsidRPr="00741462">
        <w:rPr>
          <w:rFonts w:asciiTheme="majorHAnsi" w:hAnsiTheme="majorHAnsi" w:cstheme="majorHAnsi"/>
          <w:lang w:val="es-ES"/>
        </w:rPr>
        <w:t>de los que lleguen a tener conocimiento, y tampoco, impedirá la</w:t>
      </w:r>
      <w:r>
        <w:rPr>
          <w:rFonts w:asciiTheme="majorHAnsi" w:hAnsiTheme="majorHAnsi" w:cstheme="majorHAnsi"/>
          <w:lang w:val="es-ES"/>
        </w:rPr>
        <w:t xml:space="preserve"> </w:t>
      </w:r>
      <w:r w:rsidRPr="00741462">
        <w:rPr>
          <w:rFonts w:asciiTheme="majorHAnsi" w:hAnsiTheme="majorHAnsi" w:cstheme="majorHAnsi"/>
          <w:lang w:val="es-ES"/>
        </w:rPr>
        <w:t>generación de estadísticas e información desagregada.</w:t>
      </w:r>
    </w:p>
    <w:p w14:paraId="53E9EB70" w14:textId="77777777" w:rsidR="00F96F52" w:rsidRPr="00741462" w:rsidRDefault="00F96F52" w:rsidP="00F96F52">
      <w:pPr>
        <w:autoSpaceDE w:val="0"/>
        <w:autoSpaceDN w:val="0"/>
        <w:adjustRightInd w:val="0"/>
        <w:jc w:val="both"/>
        <w:rPr>
          <w:rFonts w:asciiTheme="majorHAnsi" w:hAnsiTheme="majorHAnsi" w:cstheme="majorHAnsi"/>
          <w:lang w:val="es-ES"/>
        </w:rPr>
      </w:pPr>
    </w:p>
    <w:p w14:paraId="4FFA1934" w14:textId="77777777" w:rsidR="00F96F52" w:rsidRPr="001D1477" w:rsidRDefault="00F96F52" w:rsidP="00F96F52">
      <w:pPr>
        <w:autoSpaceDE w:val="0"/>
        <w:autoSpaceDN w:val="0"/>
        <w:adjustRightInd w:val="0"/>
        <w:jc w:val="both"/>
        <w:rPr>
          <w:rFonts w:asciiTheme="majorHAnsi" w:hAnsiTheme="majorHAnsi" w:cstheme="majorHAnsi"/>
          <w:lang w:val="es-ES"/>
        </w:rPr>
      </w:pPr>
      <w:r w:rsidRPr="00741462">
        <w:rPr>
          <w:rFonts w:asciiTheme="majorHAnsi" w:hAnsiTheme="majorHAnsi" w:cstheme="majorHAnsi"/>
          <w:lang w:val="es-ES"/>
        </w:rPr>
        <w:t>LOIPEVCM, Art. 27.- El ente rector de Seguridad Ciudadana</w:t>
      </w:r>
      <w:r>
        <w:rPr>
          <w:rFonts w:asciiTheme="majorHAnsi" w:hAnsiTheme="majorHAnsi" w:cstheme="majorHAnsi"/>
          <w:lang w:val="es-ES"/>
        </w:rPr>
        <w:t xml:space="preserve"> </w:t>
      </w:r>
      <w:r w:rsidRPr="00741462">
        <w:rPr>
          <w:rFonts w:asciiTheme="majorHAnsi" w:hAnsiTheme="majorHAnsi" w:cstheme="majorHAnsi"/>
          <w:lang w:val="es-ES"/>
        </w:rPr>
        <w:t>y Orden Público. Sin perjuicio de las facultades establecidas</w:t>
      </w:r>
      <w:r>
        <w:rPr>
          <w:rFonts w:asciiTheme="majorHAnsi" w:hAnsiTheme="majorHAnsi" w:cstheme="majorHAnsi"/>
          <w:lang w:val="es-ES"/>
        </w:rPr>
        <w:t xml:space="preserve"> </w:t>
      </w:r>
      <w:r w:rsidRPr="00741462">
        <w:rPr>
          <w:rFonts w:asciiTheme="majorHAnsi" w:hAnsiTheme="majorHAnsi" w:cstheme="majorHAnsi"/>
          <w:lang w:val="es-ES"/>
        </w:rPr>
        <w:t>en la respectiva normativa vigente, tendrá las siguientes</w:t>
      </w:r>
      <w:r>
        <w:rPr>
          <w:rFonts w:asciiTheme="majorHAnsi" w:hAnsiTheme="majorHAnsi" w:cstheme="majorHAnsi"/>
          <w:lang w:val="es-ES"/>
        </w:rPr>
        <w:t xml:space="preserve"> </w:t>
      </w:r>
      <w:r w:rsidRPr="00741462">
        <w:rPr>
          <w:rFonts w:asciiTheme="majorHAnsi" w:hAnsiTheme="majorHAnsi" w:cstheme="majorHAnsi"/>
          <w:lang w:val="es-ES"/>
        </w:rPr>
        <w:t>atribuciones: a) Garantizar la aplicación de las medidas de</w:t>
      </w:r>
      <w:r>
        <w:rPr>
          <w:rFonts w:asciiTheme="majorHAnsi" w:hAnsiTheme="majorHAnsi" w:cstheme="majorHAnsi"/>
          <w:lang w:val="es-ES"/>
        </w:rPr>
        <w:t xml:space="preserve"> </w:t>
      </w:r>
      <w:r w:rsidRPr="00741462">
        <w:rPr>
          <w:rFonts w:asciiTheme="majorHAnsi" w:hAnsiTheme="majorHAnsi" w:cstheme="majorHAnsi"/>
          <w:lang w:val="es-ES"/>
        </w:rPr>
        <w:t>protección urgentes establecidas en los protocolos, a favor de las</w:t>
      </w:r>
      <w:r>
        <w:rPr>
          <w:rFonts w:asciiTheme="majorHAnsi" w:hAnsiTheme="majorHAnsi" w:cstheme="majorHAnsi"/>
          <w:lang w:val="es-ES"/>
        </w:rPr>
        <w:t xml:space="preserve"> </w:t>
      </w:r>
      <w:r w:rsidRPr="00741462">
        <w:rPr>
          <w:rFonts w:asciiTheme="majorHAnsi" w:hAnsiTheme="majorHAnsi" w:cstheme="majorHAnsi"/>
          <w:lang w:val="es-ES"/>
        </w:rPr>
        <w:t>niñas, adolescentes, jóvenes, adultas y adultas mayores; (…); h)</w:t>
      </w:r>
      <w:r>
        <w:rPr>
          <w:rFonts w:asciiTheme="majorHAnsi" w:hAnsiTheme="majorHAnsi" w:cstheme="majorHAnsi"/>
          <w:lang w:val="es-ES"/>
        </w:rPr>
        <w:t xml:space="preserve"> </w:t>
      </w:r>
      <w:r w:rsidRPr="00741462">
        <w:rPr>
          <w:rFonts w:asciiTheme="majorHAnsi" w:hAnsiTheme="majorHAnsi" w:cstheme="majorHAnsi"/>
          <w:lang w:val="es-ES"/>
        </w:rPr>
        <w:t>Implementar dentro de las Unidades de Policía Comunitaria y</w:t>
      </w:r>
      <w:r>
        <w:rPr>
          <w:rFonts w:asciiTheme="majorHAnsi" w:hAnsiTheme="majorHAnsi" w:cstheme="majorHAnsi"/>
          <w:lang w:val="es-ES"/>
        </w:rPr>
        <w:t xml:space="preserve"> </w:t>
      </w:r>
      <w:r w:rsidRPr="00741462">
        <w:rPr>
          <w:rFonts w:asciiTheme="majorHAnsi" w:hAnsiTheme="majorHAnsi" w:cstheme="majorHAnsi"/>
          <w:lang w:val="es-ES"/>
        </w:rPr>
        <w:t>Unidades de Vigilancia Comunitaria, por lo menos un agente</w:t>
      </w:r>
      <w:r>
        <w:rPr>
          <w:rFonts w:asciiTheme="majorHAnsi" w:hAnsiTheme="majorHAnsi" w:cstheme="majorHAnsi"/>
          <w:lang w:val="es-ES"/>
        </w:rPr>
        <w:t xml:space="preserve"> </w:t>
      </w:r>
      <w:r w:rsidRPr="00741462">
        <w:rPr>
          <w:rFonts w:asciiTheme="majorHAnsi" w:hAnsiTheme="majorHAnsi" w:cstheme="majorHAnsi"/>
          <w:lang w:val="es-ES"/>
        </w:rPr>
        <w:t>de policía especializado en procedimientos en contra de la</w:t>
      </w:r>
      <w:r>
        <w:rPr>
          <w:rFonts w:asciiTheme="majorHAnsi" w:hAnsiTheme="majorHAnsi" w:cstheme="majorHAnsi"/>
          <w:lang w:val="es-ES"/>
        </w:rPr>
        <w:t xml:space="preserve"> </w:t>
      </w:r>
      <w:r w:rsidRPr="00741462">
        <w:rPr>
          <w:rFonts w:asciiTheme="majorHAnsi" w:hAnsiTheme="majorHAnsi" w:cstheme="majorHAnsi"/>
          <w:lang w:val="es-ES"/>
        </w:rPr>
        <w:t>Violencia contra las Mujeres.</w:t>
      </w:r>
    </w:p>
    <w:p w14:paraId="19E42052" w14:textId="77777777" w:rsidR="00F96F52" w:rsidRPr="00741462" w:rsidRDefault="00F96F52" w:rsidP="00F96F52">
      <w:pPr>
        <w:autoSpaceDE w:val="0"/>
        <w:autoSpaceDN w:val="0"/>
        <w:adjustRightInd w:val="0"/>
        <w:jc w:val="both"/>
        <w:rPr>
          <w:rFonts w:asciiTheme="majorHAnsi" w:hAnsiTheme="majorHAnsi" w:cstheme="majorHAnsi"/>
          <w:lang w:val="es-ES"/>
        </w:rPr>
      </w:pPr>
    </w:p>
    <w:p w14:paraId="5FB8BB4F" w14:textId="77777777" w:rsidR="00F96F52" w:rsidRPr="00741462" w:rsidRDefault="00F96F52" w:rsidP="00F96F52">
      <w:pPr>
        <w:autoSpaceDE w:val="0"/>
        <w:autoSpaceDN w:val="0"/>
        <w:adjustRightInd w:val="0"/>
        <w:jc w:val="both"/>
        <w:rPr>
          <w:rFonts w:asciiTheme="majorHAnsi" w:hAnsiTheme="majorHAnsi" w:cstheme="majorHAnsi"/>
          <w:lang w:val="es-ES"/>
        </w:rPr>
      </w:pPr>
      <w:r w:rsidRPr="00741462">
        <w:rPr>
          <w:rFonts w:asciiTheme="majorHAnsi" w:hAnsiTheme="majorHAnsi" w:cstheme="majorHAnsi"/>
          <w:lang w:val="es-ES"/>
        </w:rPr>
        <w:t>LOIPEVCM, Art. 33.- Servicio Integrado de Seguridad ECU 911.</w:t>
      </w:r>
      <w:r>
        <w:rPr>
          <w:rFonts w:asciiTheme="majorHAnsi" w:hAnsiTheme="majorHAnsi" w:cstheme="majorHAnsi"/>
          <w:lang w:val="es-ES"/>
        </w:rPr>
        <w:t xml:space="preserve"> </w:t>
      </w:r>
      <w:r w:rsidRPr="00741462">
        <w:rPr>
          <w:rFonts w:asciiTheme="majorHAnsi" w:hAnsiTheme="majorHAnsi" w:cstheme="majorHAnsi"/>
          <w:lang w:val="es-ES"/>
        </w:rPr>
        <w:t>(…) tendrá las siguientes atribuciones: a) Articular la atención</w:t>
      </w:r>
      <w:r>
        <w:rPr>
          <w:rFonts w:asciiTheme="majorHAnsi" w:hAnsiTheme="majorHAnsi" w:cstheme="majorHAnsi"/>
          <w:lang w:val="es-ES"/>
        </w:rPr>
        <w:t xml:space="preserve"> </w:t>
      </w:r>
      <w:r w:rsidRPr="00741462">
        <w:rPr>
          <w:rFonts w:asciiTheme="majorHAnsi" w:hAnsiTheme="majorHAnsi" w:cstheme="majorHAnsi"/>
          <w:lang w:val="es-ES"/>
        </w:rPr>
        <w:t>de los servicios de emergencia de forma oportuna, inmediata,</w:t>
      </w:r>
    </w:p>
    <w:p w14:paraId="4CF6B784" w14:textId="77777777" w:rsidR="00F96F52" w:rsidRDefault="00F96F52" w:rsidP="00F96F52">
      <w:pPr>
        <w:autoSpaceDE w:val="0"/>
        <w:autoSpaceDN w:val="0"/>
        <w:adjustRightInd w:val="0"/>
        <w:jc w:val="both"/>
        <w:rPr>
          <w:rFonts w:asciiTheme="majorHAnsi" w:hAnsiTheme="majorHAnsi" w:cstheme="majorHAnsi"/>
          <w:lang w:val="es-ES"/>
        </w:rPr>
      </w:pPr>
      <w:r w:rsidRPr="00741462">
        <w:rPr>
          <w:rFonts w:asciiTheme="majorHAnsi" w:hAnsiTheme="majorHAnsi" w:cstheme="majorHAnsi"/>
          <w:lang w:val="es-ES"/>
        </w:rPr>
        <w:t>eficiente, ante las alertas o señales de auxilio a las mujeres,</w:t>
      </w:r>
      <w:r>
        <w:rPr>
          <w:rFonts w:asciiTheme="majorHAnsi" w:hAnsiTheme="majorHAnsi" w:cstheme="majorHAnsi"/>
          <w:lang w:val="es-ES"/>
        </w:rPr>
        <w:t xml:space="preserve"> </w:t>
      </w:r>
      <w:r w:rsidRPr="00741462">
        <w:rPr>
          <w:rFonts w:asciiTheme="majorHAnsi" w:hAnsiTheme="majorHAnsi" w:cstheme="majorHAnsi"/>
          <w:lang w:val="es-ES"/>
        </w:rPr>
        <w:t>niñas, adolescentes, jóvenes, adultas y adultas mayores víctimas</w:t>
      </w:r>
      <w:r>
        <w:rPr>
          <w:rFonts w:asciiTheme="majorHAnsi" w:hAnsiTheme="majorHAnsi" w:cstheme="majorHAnsi"/>
          <w:lang w:val="es-ES"/>
        </w:rPr>
        <w:t xml:space="preserve"> </w:t>
      </w:r>
      <w:r w:rsidRPr="00741462">
        <w:rPr>
          <w:rFonts w:asciiTheme="majorHAnsi" w:hAnsiTheme="majorHAnsi" w:cstheme="majorHAnsi"/>
          <w:lang w:val="es-ES"/>
        </w:rPr>
        <w:t>de violencia.</w:t>
      </w:r>
    </w:p>
    <w:p w14:paraId="2FEB196C" w14:textId="77777777" w:rsidR="00F96F52" w:rsidRDefault="00F96F52" w:rsidP="00F96F52">
      <w:pPr>
        <w:autoSpaceDE w:val="0"/>
        <w:autoSpaceDN w:val="0"/>
        <w:adjustRightInd w:val="0"/>
        <w:jc w:val="both"/>
        <w:rPr>
          <w:rFonts w:asciiTheme="majorHAnsi" w:hAnsiTheme="majorHAnsi" w:cstheme="majorHAnsi"/>
          <w:lang w:val="es-ES"/>
        </w:rPr>
      </w:pPr>
    </w:p>
    <w:p w14:paraId="693B0F3C" w14:textId="77777777" w:rsidR="00F96F52" w:rsidRDefault="00F96F52" w:rsidP="00F96F52">
      <w:pPr>
        <w:autoSpaceDE w:val="0"/>
        <w:autoSpaceDN w:val="0"/>
        <w:adjustRightInd w:val="0"/>
        <w:jc w:val="both"/>
        <w:rPr>
          <w:rFonts w:asciiTheme="majorHAnsi" w:hAnsiTheme="majorHAnsi" w:cstheme="majorHAnsi"/>
          <w:lang w:val="es-ES"/>
        </w:rPr>
      </w:pPr>
      <w:r w:rsidRPr="00741462">
        <w:rPr>
          <w:rFonts w:asciiTheme="majorHAnsi" w:hAnsiTheme="majorHAnsi" w:cstheme="majorHAnsi"/>
          <w:lang w:val="es-ES"/>
        </w:rPr>
        <w:t xml:space="preserve">LOIPEVCM, Art. 34.-Consejo de la </w:t>
      </w:r>
      <w:proofErr w:type="gramStart"/>
      <w:r w:rsidRPr="00741462">
        <w:rPr>
          <w:rFonts w:asciiTheme="majorHAnsi" w:hAnsiTheme="majorHAnsi" w:cstheme="majorHAnsi"/>
          <w:lang w:val="es-ES"/>
        </w:rPr>
        <w:t>Judicatura.-</w:t>
      </w:r>
      <w:proofErr w:type="gramEnd"/>
      <w:r w:rsidRPr="00741462">
        <w:rPr>
          <w:rFonts w:asciiTheme="majorHAnsi" w:hAnsiTheme="majorHAnsi" w:cstheme="majorHAnsi"/>
          <w:lang w:val="es-ES"/>
        </w:rPr>
        <w:t xml:space="preserve"> Sin perjuicio de las facultades establecidas en la normativa vigente, tendrá las siguientes atribuciones: (…) g) Fortalecer los equipos técnicos de atención a las mujeres víctimas de violencia que estará integrado por profesionales especializados en medicina, psicología y trabajo social, así como más juezas y jueces especializados en esta materia; (…)</w:t>
      </w:r>
    </w:p>
    <w:p w14:paraId="19C46A2F" w14:textId="77777777" w:rsidR="00F96F52" w:rsidRDefault="00F96F52" w:rsidP="00F96F52">
      <w:pPr>
        <w:autoSpaceDE w:val="0"/>
        <w:autoSpaceDN w:val="0"/>
        <w:adjustRightInd w:val="0"/>
        <w:jc w:val="both"/>
        <w:rPr>
          <w:rFonts w:asciiTheme="majorHAnsi" w:hAnsiTheme="majorHAnsi" w:cstheme="majorHAnsi"/>
          <w:lang w:val="es-ES"/>
        </w:rPr>
      </w:pPr>
    </w:p>
    <w:p w14:paraId="1F2A4A71" w14:textId="77777777" w:rsidR="00F96F52" w:rsidRDefault="00F96F52" w:rsidP="00F96F52">
      <w:pPr>
        <w:autoSpaceDE w:val="0"/>
        <w:autoSpaceDN w:val="0"/>
        <w:adjustRightInd w:val="0"/>
        <w:jc w:val="both"/>
        <w:rPr>
          <w:rFonts w:asciiTheme="majorHAnsi" w:hAnsiTheme="majorHAnsi" w:cstheme="majorHAnsi"/>
          <w:lang w:val="es-ES"/>
        </w:rPr>
      </w:pPr>
      <w:r w:rsidRPr="00741462">
        <w:rPr>
          <w:rFonts w:asciiTheme="majorHAnsi" w:hAnsiTheme="majorHAnsi" w:cstheme="majorHAnsi"/>
          <w:lang w:val="es-ES"/>
        </w:rPr>
        <w:t>LOIPEVCM, Art. 38.- Gobiernos Autónomos Descentralizados.</w:t>
      </w:r>
      <w:r>
        <w:rPr>
          <w:rFonts w:asciiTheme="majorHAnsi" w:hAnsiTheme="majorHAnsi" w:cstheme="majorHAnsi"/>
          <w:lang w:val="es-ES"/>
        </w:rPr>
        <w:t xml:space="preserve"> </w:t>
      </w:r>
      <w:r w:rsidRPr="00741462">
        <w:rPr>
          <w:rFonts w:asciiTheme="majorHAnsi" w:hAnsiTheme="majorHAnsi" w:cstheme="majorHAnsi"/>
          <w:lang w:val="es-ES"/>
        </w:rPr>
        <w:t>Sin perjuicio de las facultades establecidas en la respectiva</w:t>
      </w:r>
      <w:r>
        <w:rPr>
          <w:rFonts w:asciiTheme="majorHAnsi" w:hAnsiTheme="majorHAnsi" w:cstheme="majorHAnsi"/>
          <w:lang w:val="es-ES"/>
        </w:rPr>
        <w:t xml:space="preserve"> </w:t>
      </w:r>
      <w:r w:rsidRPr="00741462">
        <w:rPr>
          <w:rFonts w:asciiTheme="majorHAnsi" w:hAnsiTheme="majorHAnsi" w:cstheme="majorHAnsi"/>
          <w:lang w:val="es-ES"/>
        </w:rPr>
        <w:t xml:space="preserve">normativa vigente, tendrá las siguientes </w:t>
      </w:r>
      <w:r w:rsidRPr="00741462">
        <w:rPr>
          <w:rFonts w:asciiTheme="majorHAnsi" w:hAnsiTheme="majorHAnsi" w:cstheme="majorHAnsi"/>
          <w:lang w:val="es-ES"/>
        </w:rPr>
        <w:lastRenderedPageBreak/>
        <w:t>atribuciones: (…) c)</w:t>
      </w:r>
      <w:r>
        <w:rPr>
          <w:rFonts w:asciiTheme="majorHAnsi" w:hAnsiTheme="majorHAnsi" w:cstheme="majorHAnsi"/>
          <w:lang w:val="es-ES"/>
        </w:rPr>
        <w:t xml:space="preserve"> </w:t>
      </w:r>
      <w:r w:rsidRPr="00741462">
        <w:rPr>
          <w:rFonts w:asciiTheme="majorHAnsi" w:hAnsiTheme="majorHAnsi" w:cstheme="majorHAnsi"/>
          <w:lang w:val="es-ES"/>
        </w:rPr>
        <w:t>Crear y fortalecer Juntas Cantonales de Protección de Derechos,</w:t>
      </w:r>
      <w:r>
        <w:rPr>
          <w:rFonts w:asciiTheme="majorHAnsi" w:hAnsiTheme="majorHAnsi" w:cstheme="majorHAnsi"/>
          <w:lang w:val="es-ES"/>
        </w:rPr>
        <w:t xml:space="preserve"> </w:t>
      </w:r>
      <w:r w:rsidRPr="00741462">
        <w:rPr>
          <w:rFonts w:asciiTheme="majorHAnsi" w:hAnsiTheme="majorHAnsi" w:cstheme="majorHAnsi"/>
          <w:lang w:val="es-ES"/>
        </w:rPr>
        <w:t>así como capacitar al personal en atención y emisión de</w:t>
      </w:r>
      <w:r>
        <w:rPr>
          <w:rFonts w:asciiTheme="majorHAnsi" w:hAnsiTheme="majorHAnsi" w:cstheme="majorHAnsi"/>
          <w:lang w:val="es-ES"/>
        </w:rPr>
        <w:t xml:space="preserve"> </w:t>
      </w:r>
      <w:r w:rsidRPr="00741462">
        <w:rPr>
          <w:rFonts w:asciiTheme="majorHAnsi" w:hAnsiTheme="majorHAnsi" w:cstheme="majorHAnsi"/>
          <w:lang w:val="es-ES"/>
        </w:rPr>
        <w:t>medidas; (…).</w:t>
      </w:r>
    </w:p>
    <w:p w14:paraId="3476A1D3" w14:textId="77777777" w:rsidR="00F96F52" w:rsidRPr="00741462" w:rsidRDefault="00F96F52" w:rsidP="00F96F52">
      <w:pPr>
        <w:autoSpaceDE w:val="0"/>
        <w:autoSpaceDN w:val="0"/>
        <w:adjustRightInd w:val="0"/>
        <w:jc w:val="both"/>
        <w:rPr>
          <w:rFonts w:asciiTheme="majorHAnsi" w:hAnsiTheme="majorHAnsi" w:cstheme="majorHAnsi"/>
          <w:lang w:val="es-ES"/>
        </w:rPr>
      </w:pPr>
    </w:p>
    <w:p w14:paraId="462AEE26" w14:textId="77777777" w:rsidR="00F96F52" w:rsidRPr="00741462" w:rsidRDefault="00F96F52" w:rsidP="00F96F52">
      <w:pPr>
        <w:autoSpaceDE w:val="0"/>
        <w:autoSpaceDN w:val="0"/>
        <w:adjustRightInd w:val="0"/>
        <w:jc w:val="both"/>
        <w:rPr>
          <w:rFonts w:asciiTheme="majorHAnsi" w:hAnsiTheme="majorHAnsi" w:cstheme="majorHAnsi"/>
          <w:lang w:val="es-ES"/>
        </w:rPr>
      </w:pPr>
      <w:r w:rsidRPr="00741462">
        <w:rPr>
          <w:rFonts w:asciiTheme="majorHAnsi" w:hAnsiTheme="majorHAnsi" w:cstheme="majorHAnsi"/>
          <w:lang w:val="es-ES"/>
        </w:rPr>
        <w:t xml:space="preserve">LOIPEVCM, Art. 48.- Acciones </w:t>
      </w:r>
      <w:proofErr w:type="gramStart"/>
      <w:r w:rsidRPr="00741462">
        <w:rPr>
          <w:rFonts w:asciiTheme="majorHAnsi" w:hAnsiTheme="majorHAnsi" w:cstheme="majorHAnsi"/>
          <w:lang w:val="es-ES"/>
        </w:rPr>
        <w:t>urgentes.-</w:t>
      </w:r>
      <w:proofErr w:type="gramEnd"/>
      <w:r w:rsidRPr="00741462">
        <w:rPr>
          <w:rFonts w:asciiTheme="majorHAnsi" w:hAnsiTheme="majorHAnsi" w:cstheme="majorHAnsi"/>
          <w:lang w:val="es-ES"/>
        </w:rPr>
        <w:t xml:space="preserve"> Las acciones urgentes</w:t>
      </w:r>
      <w:r>
        <w:rPr>
          <w:rFonts w:asciiTheme="majorHAnsi" w:hAnsiTheme="majorHAnsi" w:cstheme="majorHAnsi"/>
          <w:lang w:val="es-ES"/>
        </w:rPr>
        <w:t xml:space="preserve"> </w:t>
      </w:r>
      <w:r w:rsidRPr="00741462">
        <w:rPr>
          <w:rFonts w:asciiTheme="majorHAnsi" w:hAnsiTheme="majorHAnsi" w:cstheme="majorHAnsi"/>
          <w:lang w:val="es-ES"/>
        </w:rPr>
        <w:t>son las que se ejecutarán por parte de la Policía Nacional</w:t>
      </w:r>
      <w:r>
        <w:rPr>
          <w:rFonts w:asciiTheme="majorHAnsi" w:hAnsiTheme="majorHAnsi" w:cstheme="majorHAnsi"/>
          <w:lang w:val="es-ES"/>
        </w:rPr>
        <w:t xml:space="preserve"> </w:t>
      </w:r>
      <w:r w:rsidRPr="00741462">
        <w:rPr>
          <w:rFonts w:asciiTheme="majorHAnsi" w:hAnsiTheme="majorHAnsi" w:cstheme="majorHAnsi"/>
          <w:lang w:val="es-ES"/>
        </w:rPr>
        <w:t>cuando exista o se presuma una inminente vulneración</w:t>
      </w:r>
      <w:r>
        <w:rPr>
          <w:rFonts w:asciiTheme="majorHAnsi" w:hAnsiTheme="majorHAnsi" w:cstheme="majorHAnsi"/>
          <w:lang w:val="es-ES"/>
        </w:rPr>
        <w:t xml:space="preserve"> </w:t>
      </w:r>
      <w:r w:rsidRPr="00741462">
        <w:rPr>
          <w:rFonts w:asciiTheme="majorHAnsi" w:hAnsiTheme="majorHAnsi" w:cstheme="majorHAnsi"/>
          <w:lang w:val="es-ES"/>
        </w:rPr>
        <w:t>o riesgo a la vida e integridad de la víctima, de acuerdo a</w:t>
      </w:r>
      <w:r>
        <w:rPr>
          <w:rFonts w:asciiTheme="majorHAnsi" w:hAnsiTheme="majorHAnsi" w:cstheme="majorHAnsi"/>
          <w:lang w:val="es-ES"/>
        </w:rPr>
        <w:t xml:space="preserve"> </w:t>
      </w:r>
      <w:r w:rsidRPr="00741462">
        <w:rPr>
          <w:rFonts w:asciiTheme="majorHAnsi" w:hAnsiTheme="majorHAnsi" w:cstheme="majorHAnsi"/>
          <w:lang w:val="es-ES"/>
        </w:rPr>
        <w:t>los protocolos establecidos de la siguiente manera: a) Acudir</w:t>
      </w:r>
    </w:p>
    <w:p w14:paraId="77FF011E" w14:textId="77777777" w:rsidR="00F96F52" w:rsidRPr="00741462" w:rsidRDefault="00F96F52" w:rsidP="00F96F52">
      <w:pPr>
        <w:autoSpaceDE w:val="0"/>
        <w:autoSpaceDN w:val="0"/>
        <w:adjustRightInd w:val="0"/>
        <w:jc w:val="both"/>
        <w:rPr>
          <w:rFonts w:asciiTheme="majorHAnsi" w:hAnsiTheme="majorHAnsi" w:cstheme="majorHAnsi"/>
          <w:lang w:val="es-ES"/>
        </w:rPr>
      </w:pPr>
      <w:r w:rsidRPr="00741462">
        <w:rPr>
          <w:rFonts w:asciiTheme="majorHAnsi" w:hAnsiTheme="majorHAnsi" w:cstheme="majorHAnsi"/>
          <w:lang w:val="es-ES"/>
        </w:rPr>
        <w:t>de manera inmediata ante una alerta generada por: botón</w:t>
      </w:r>
      <w:r>
        <w:rPr>
          <w:rFonts w:asciiTheme="majorHAnsi" w:hAnsiTheme="majorHAnsi" w:cstheme="majorHAnsi"/>
          <w:lang w:val="es-ES"/>
        </w:rPr>
        <w:t xml:space="preserve"> </w:t>
      </w:r>
      <w:r w:rsidRPr="00741462">
        <w:rPr>
          <w:rFonts w:asciiTheme="majorHAnsi" w:hAnsiTheme="majorHAnsi" w:cstheme="majorHAnsi"/>
          <w:lang w:val="es-ES"/>
        </w:rPr>
        <w:t>de pánico, llamada al Servicio Integrado ECU 911, video vigilancia, patrullaje, vigilancia policial y otros mecanismos</w:t>
      </w:r>
      <w:r>
        <w:rPr>
          <w:rFonts w:asciiTheme="majorHAnsi" w:hAnsiTheme="majorHAnsi" w:cstheme="majorHAnsi"/>
          <w:lang w:val="es-ES"/>
        </w:rPr>
        <w:t xml:space="preserve"> </w:t>
      </w:r>
      <w:r w:rsidRPr="00741462">
        <w:rPr>
          <w:rFonts w:asciiTheme="majorHAnsi" w:hAnsiTheme="majorHAnsi" w:cstheme="majorHAnsi"/>
          <w:lang w:val="es-ES"/>
        </w:rPr>
        <w:t>de alerta.</w:t>
      </w:r>
    </w:p>
    <w:p w14:paraId="0CDAC986" w14:textId="77777777" w:rsidR="00F96F52" w:rsidRPr="00741462" w:rsidRDefault="00F96F52" w:rsidP="00F96F52">
      <w:pPr>
        <w:autoSpaceDE w:val="0"/>
        <w:autoSpaceDN w:val="0"/>
        <w:adjustRightInd w:val="0"/>
        <w:jc w:val="both"/>
        <w:rPr>
          <w:rFonts w:asciiTheme="majorHAnsi" w:hAnsiTheme="majorHAnsi" w:cstheme="majorHAnsi"/>
          <w:lang w:val="es-ES"/>
        </w:rPr>
      </w:pPr>
    </w:p>
    <w:p w14:paraId="4071C344" w14:textId="77777777" w:rsidR="00F96F52" w:rsidRDefault="00F96F52" w:rsidP="00F96F52">
      <w:pPr>
        <w:autoSpaceDE w:val="0"/>
        <w:autoSpaceDN w:val="0"/>
        <w:adjustRightInd w:val="0"/>
        <w:jc w:val="both"/>
        <w:rPr>
          <w:rFonts w:asciiTheme="majorHAnsi" w:hAnsiTheme="majorHAnsi" w:cstheme="majorHAnsi"/>
          <w:lang w:val="es-ES"/>
        </w:rPr>
      </w:pPr>
      <w:r w:rsidRPr="00741462">
        <w:rPr>
          <w:rFonts w:asciiTheme="majorHAnsi" w:hAnsiTheme="majorHAnsi" w:cstheme="majorHAnsi"/>
          <w:lang w:val="es-ES"/>
        </w:rPr>
        <w:t>LOIPEVCM, Art. 51.- Medidas Administrativas inmediatas</w:t>
      </w:r>
      <w:r>
        <w:rPr>
          <w:rFonts w:asciiTheme="majorHAnsi" w:hAnsiTheme="majorHAnsi" w:cstheme="majorHAnsi"/>
          <w:lang w:val="es-ES"/>
        </w:rPr>
        <w:t xml:space="preserve"> </w:t>
      </w:r>
      <w:r w:rsidRPr="00741462">
        <w:rPr>
          <w:rFonts w:asciiTheme="majorHAnsi" w:hAnsiTheme="majorHAnsi" w:cstheme="majorHAnsi"/>
          <w:lang w:val="es-ES"/>
        </w:rPr>
        <w:t>de protección. Las medidas administrativas inmediatas de</w:t>
      </w:r>
      <w:r>
        <w:rPr>
          <w:rFonts w:asciiTheme="majorHAnsi" w:hAnsiTheme="majorHAnsi" w:cstheme="majorHAnsi"/>
          <w:lang w:val="es-ES"/>
        </w:rPr>
        <w:t xml:space="preserve"> </w:t>
      </w:r>
      <w:r w:rsidRPr="00741462">
        <w:rPr>
          <w:rFonts w:asciiTheme="majorHAnsi" w:hAnsiTheme="majorHAnsi" w:cstheme="majorHAnsi"/>
          <w:lang w:val="es-ES"/>
        </w:rPr>
        <w:t>protección se dispondrán de manera inmediata, cuando exista</w:t>
      </w:r>
      <w:r>
        <w:rPr>
          <w:rFonts w:asciiTheme="majorHAnsi" w:hAnsiTheme="majorHAnsi" w:cstheme="majorHAnsi"/>
          <w:lang w:val="es-ES"/>
        </w:rPr>
        <w:t xml:space="preserve"> </w:t>
      </w:r>
      <w:r w:rsidRPr="00741462">
        <w:rPr>
          <w:rFonts w:asciiTheme="majorHAnsi" w:hAnsiTheme="majorHAnsi" w:cstheme="majorHAnsi"/>
          <w:lang w:val="es-ES"/>
        </w:rPr>
        <w:t>vulneración a la integridad de la mujer víctima de violencia.</w:t>
      </w:r>
      <w:r>
        <w:rPr>
          <w:rFonts w:asciiTheme="majorHAnsi" w:hAnsiTheme="majorHAnsi" w:cstheme="majorHAnsi"/>
          <w:lang w:val="es-ES"/>
        </w:rPr>
        <w:t xml:space="preserve"> </w:t>
      </w:r>
      <w:r w:rsidRPr="00741462">
        <w:rPr>
          <w:rFonts w:asciiTheme="majorHAnsi" w:hAnsiTheme="majorHAnsi" w:cstheme="majorHAnsi"/>
          <w:lang w:val="es-ES"/>
        </w:rPr>
        <w:t xml:space="preserve">Serán otorgadas por los </w:t>
      </w:r>
      <w:proofErr w:type="gramStart"/>
      <w:r w:rsidRPr="00741462">
        <w:rPr>
          <w:rFonts w:asciiTheme="majorHAnsi" w:hAnsiTheme="majorHAnsi" w:cstheme="majorHAnsi"/>
          <w:lang w:val="es-ES"/>
        </w:rPr>
        <w:t>Tenientes</w:t>
      </w:r>
      <w:proofErr w:type="gramEnd"/>
      <w:r w:rsidRPr="00741462">
        <w:rPr>
          <w:rFonts w:asciiTheme="majorHAnsi" w:hAnsiTheme="majorHAnsi" w:cstheme="majorHAnsi"/>
          <w:lang w:val="es-ES"/>
        </w:rPr>
        <w:t xml:space="preserve"> Políticos, a nivel parroquial;</w:t>
      </w:r>
      <w:r>
        <w:rPr>
          <w:rFonts w:asciiTheme="majorHAnsi" w:hAnsiTheme="majorHAnsi" w:cstheme="majorHAnsi"/>
          <w:lang w:val="es-ES"/>
        </w:rPr>
        <w:t xml:space="preserve"> </w:t>
      </w:r>
      <w:r w:rsidRPr="00741462">
        <w:rPr>
          <w:rFonts w:asciiTheme="majorHAnsi" w:hAnsiTheme="majorHAnsi" w:cstheme="majorHAnsi"/>
          <w:lang w:val="es-ES"/>
        </w:rPr>
        <w:t>y, a nivel cantonal, las Juntas Cantonales de Protección de</w:t>
      </w:r>
      <w:r>
        <w:rPr>
          <w:rFonts w:asciiTheme="majorHAnsi" w:hAnsiTheme="majorHAnsi" w:cstheme="majorHAnsi"/>
          <w:lang w:val="es-ES"/>
        </w:rPr>
        <w:t xml:space="preserve"> </w:t>
      </w:r>
      <w:r w:rsidRPr="00741462">
        <w:rPr>
          <w:rFonts w:asciiTheme="majorHAnsi" w:hAnsiTheme="majorHAnsi" w:cstheme="majorHAnsi"/>
          <w:lang w:val="es-ES"/>
        </w:rPr>
        <w:t xml:space="preserve">Derechos. </w:t>
      </w:r>
    </w:p>
    <w:p w14:paraId="675CDA46" w14:textId="77777777" w:rsidR="00F96F52" w:rsidRDefault="00F96F52" w:rsidP="00F96F52">
      <w:pPr>
        <w:autoSpaceDE w:val="0"/>
        <w:autoSpaceDN w:val="0"/>
        <w:adjustRightInd w:val="0"/>
        <w:jc w:val="both"/>
        <w:rPr>
          <w:rFonts w:asciiTheme="majorHAnsi" w:hAnsiTheme="majorHAnsi" w:cstheme="majorHAnsi"/>
          <w:lang w:val="es-ES"/>
        </w:rPr>
      </w:pPr>
    </w:p>
    <w:p w14:paraId="702E8FB6" w14:textId="77777777" w:rsidR="00F96F52" w:rsidRPr="009E23E3" w:rsidRDefault="00F96F52" w:rsidP="00F96F52">
      <w:pPr>
        <w:jc w:val="both"/>
        <w:rPr>
          <w:rFonts w:asciiTheme="majorHAnsi" w:hAnsiTheme="majorHAnsi" w:cstheme="majorHAnsi"/>
          <w:lang w:val="es-ES"/>
        </w:rPr>
      </w:pPr>
      <w:r w:rsidRPr="009E23E3">
        <w:rPr>
          <w:rFonts w:asciiTheme="majorHAnsi" w:hAnsiTheme="majorHAnsi" w:cstheme="majorHAnsi"/>
          <w:lang w:val="es-ES"/>
        </w:rPr>
        <w:t xml:space="preserve">COIP. Art. 643.- </w:t>
      </w:r>
      <w:proofErr w:type="gramStart"/>
      <w:r w:rsidRPr="009E23E3">
        <w:rPr>
          <w:rFonts w:asciiTheme="majorHAnsi" w:hAnsiTheme="majorHAnsi" w:cstheme="majorHAnsi"/>
          <w:lang w:val="es-ES"/>
        </w:rPr>
        <w:t>Reglas.-</w:t>
      </w:r>
      <w:proofErr w:type="gramEnd"/>
      <w:r w:rsidRPr="009E23E3">
        <w:rPr>
          <w:rFonts w:asciiTheme="majorHAnsi" w:hAnsiTheme="majorHAnsi" w:cstheme="majorHAnsi"/>
          <w:lang w:val="es-ES"/>
        </w:rPr>
        <w:t xml:space="preserve"> El procedimiento para juzgar la contravención penal de violencia contra la mujer o miembros del núcleo familiar, se sustanciará de conformidad con las siguientes reglas: (…) 4. (…) Los agentes de la Policía Nacional que conozcan del hecho elaborarán el parte policial e informes correspondientes dentro de las veinte y cuatro horas de producido el incidente y comparecerán de manera obligatoria a la audiencia. Los agentes de la Policía Nacional están obligados a ejecutar las medidas de protección, dispensar auxilio, proteger y transportar a la mujer y demás víctimas</w:t>
      </w:r>
    </w:p>
    <w:p w14:paraId="454C229E" w14:textId="77777777" w:rsidR="00F96F52" w:rsidRPr="009E23E3" w:rsidRDefault="00F96F52" w:rsidP="00F96F52">
      <w:pPr>
        <w:jc w:val="both"/>
        <w:rPr>
          <w:rFonts w:asciiTheme="majorHAnsi" w:hAnsiTheme="majorHAnsi" w:cstheme="majorHAnsi"/>
          <w:lang w:val="es-ES"/>
        </w:rPr>
      </w:pPr>
    </w:p>
    <w:p w14:paraId="14D8D7A6" w14:textId="77777777" w:rsidR="00F96F52" w:rsidRPr="00741462" w:rsidRDefault="00F96F52" w:rsidP="00F96F52">
      <w:pPr>
        <w:autoSpaceDE w:val="0"/>
        <w:autoSpaceDN w:val="0"/>
        <w:adjustRightInd w:val="0"/>
        <w:jc w:val="both"/>
        <w:rPr>
          <w:rFonts w:asciiTheme="majorHAnsi" w:hAnsiTheme="majorHAnsi" w:cstheme="majorHAnsi"/>
          <w:lang w:val="es-ES"/>
        </w:rPr>
      </w:pPr>
      <w:r w:rsidRPr="00741462">
        <w:rPr>
          <w:rFonts w:asciiTheme="majorHAnsi" w:hAnsiTheme="majorHAnsi" w:cstheme="majorHAnsi"/>
          <w:lang w:val="es-ES"/>
        </w:rPr>
        <w:t>(Salazar y Flores, s. f.)</w:t>
      </w:r>
    </w:p>
    <w:p w14:paraId="70F16C53" w14:textId="45A8E596" w:rsidR="00726F2B" w:rsidRPr="00F96F52" w:rsidRDefault="00A82DB1" w:rsidP="00F96F52">
      <w:pPr>
        <w:jc w:val="both"/>
        <w:rPr>
          <w:rFonts w:asciiTheme="majorHAnsi" w:hAnsiTheme="majorHAnsi" w:cstheme="majorHAnsi"/>
          <w:lang w:val="es-ES"/>
        </w:rPr>
      </w:pPr>
      <w:r w:rsidRPr="00741462">
        <w:rPr>
          <w:rFonts w:asciiTheme="majorHAnsi" w:hAnsiTheme="majorHAnsi" w:cstheme="majorHAnsi"/>
          <w:lang w:val="es-ES"/>
        </w:rPr>
        <w:tab/>
      </w:r>
      <w:r w:rsidRPr="00741462">
        <w:rPr>
          <w:rFonts w:asciiTheme="majorHAnsi" w:hAnsiTheme="majorHAnsi" w:cstheme="majorHAnsi"/>
          <w:lang w:val="es-ES"/>
        </w:rPr>
        <w:tab/>
      </w:r>
      <w:r w:rsidRPr="00741462">
        <w:rPr>
          <w:rFonts w:asciiTheme="majorHAnsi" w:hAnsiTheme="majorHAnsi" w:cstheme="majorHAnsi"/>
          <w:lang w:val="es-ES"/>
        </w:rPr>
        <w:tab/>
      </w:r>
      <w:r w:rsidRPr="00741462">
        <w:rPr>
          <w:rFonts w:asciiTheme="majorHAnsi" w:hAnsiTheme="majorHAnsi" w:cstheme="majorHAnsi"/>
          <w:lang w:val="es-ES"/>
        </w:rPr>
        <w:tab/>
      </w:r>
    </w:p>
    <w:sectPr w:rsidR="00726F2B" w:rsidRPr="00F96F52">
      <w:headerReference w:type="default" r:id="rId8"/>
      <w:footerReference w:type="default" r:id="rId9"/>
      <w:pgSz w:w="11906" w:h="16838"/>
      <w:pgMar w:top="1417" w:right="1701" w:bottom="1417" w:left="170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9D2D" w14:textId="77777777" w:rsidR="0012456B" w:rsidRDefault="0012456B">
      <w:r>
        <w:separator/>
      </w:r>
    </w:p>
  </w:endnote>
  <w:endnote w:type="continuationSeparator" w:id="0">
    <w:p w14:paraId="04E58000" w14:textId="77777777" w:rsidR="0012456B" w:rsidRDefault="0012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CD32" w14:textId="77777777" w:rsidR="00726F2B"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9264" behindDoc="0" locked="0" layoutInCell="1" hidden="0" allowOverlap="1" wp14:anchorId="5A2EDF63" wp14:editId="533CD07A">
          <wp:simplePos x="0" y="0"/>
          <wp:positionH relativeFrom="column">
            <wp:posOffset>-1092835</wp:posOffset>
          </wp:positionH>
          <wp:positionV relativeFrom="paragraph">
            <wp:posOffset>-347617</wp:posOffset>
          </wp:positionV>
          <wp:extent cx="7574915" cy="130036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74915" cy="1300360"/>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1ED9" w14:textId="77777777" w:rsidR="0012456B" w:rsidRDefault="0012456B">
      <w:r>
        <w:separator/>
      </w:r>
    </w:p>
  </w:footnote>
  <w:footnote w:type="continuationSeparator" w:id="0">
    <w:p w14:paraId="57335CD2" w14:textId="77777777" w:rsidR="0012456B" w:rsidRDefault="0012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7D15" w14:textId="77777777" w:rsidR="00726F2B"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553D68" wp14:editId="6C217268">
          <wp:simplePos x="0" y="0"/>
          <wp:positionH relativeFrom="column">
            <wp:posOffset>-1118870</wp:posOffset>
          </wp:positionH>
          <wp:positionV relativeFrom="paragraph">
            <wp:posOffset>-450578</wp:posOffset>
          </wp:positionV>
          <wp:extent cx="7594600" cy="1215136"/>
          <wp:effectExtent l="0" t="0" r="0" b="4445"/>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5"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4600" cy="1215136"/>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635E1"/>
    <w:multiLevelType w:val="hybridMultilevel"/>
    <w:tmpl w:val="5994F9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7019B6"/>
    <w:multiLevelType w:val="hybridMultilevel"/>
    <w:tmpl w:val="123CF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832AB1"/>
    <w:multiLevelType w:val="hybridMultilevel"/>
    <w:tmpl w:val="081A2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664138"/>
    <w:multiLevelType w:val="hybridMultilevel"/>
    <w:tmpl w:val="592EB0A8"/>
    <w:lvl w:ilvl="0" w:tplc="09788A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E50B3D"/>
    <w:multiLevelType w:val="hybridMultilevel"/>
    <w:tmpl w:val="592EB0A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FE7F21"/>
    <w:multiLevelType w:val="hybridMultilevel"/>
    <w:tmpl w:val="B290AAD2"/>
    <w:lvl w:ilvl="0" w:tplc="B4A82BD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4237CF"/>
    <w:multiLevelType w:val="hybridMultilevel"/>
    <w:tmpl w:val="D22C7794"/>
    <w:lvl w:ilvl="0" w:tplc="84E84622">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3C94208"/>
    <w:multiLevelType w:val="hybridMultilevel"/>
    <w:tmpl w:val="245C55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E44ACC"/>
    <w:multiLevelType w:val="hybridMultilevel"/>
    <w:tmpl w:val="A1E68AAA"/>
    <w:lvl w:ilvl="0" w:tplc="09788AE8">
      <w:start w:val="1"/>
      <w:numFmt w:val="upperRoman"/>
      <w:lvlText w:val="%1."/>
      <w:lvlJc w:val="left"/>
      <w:pPr>
        <w:ind w:left="1080" w:hanging="720"/>
      </w:pPr>
      <w:rPr>
        <w:rFonts w:hint="default"/>
      </w:rPr>
    </w:lvl>
    <w:lvl w:ilvl="1" w:tplc="3BB2763E">
      <w:numFmt w:val="bullet"/>
      <w:lvlText w:val="-"/>
      <w:lvlJc w:val="left"/>
      <w:pPr>
        <w:ind w:left="1440" w:hanging="360"/>
      </w:pPr>
      <w:rPr>
        <w:rFonts w:ascii="Calibri Light" w:eastAsia="Calibri" w:hAnsi="Calibri Light" w:cs="Calibri Light"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93271580">
    <w:abstractNumId w:val="3"/>
  </w:num>
  <w:num w:numId="2" w16cid:durableId="873537366">
    <w:abstractNumId w:val="5"/>
  </w:num>
  <w:num w:numId="3" w16cid:durableId="1681393762">
    <w:abstractNumId w:val="4"/>
  </w:num>
  <w:num w:numId="4" w16cid:durableId="2110463057">
    <w:abstractNumId w:val="8"/>
  </w:num>
  <w:num w:numId="5" w16cid:durableId="175072120">
    <w:abstractNumId w:val="6"/>
  </w:num>
  <w:num w:numId="6" w16cid:durableId="1566333112">
    <w:abstractNumId w:val="1"/>
  </w:num>
  <w:num w:numId="7" w16cid:durableId="1049575296">
    <w:abstractNumId w:val="2"/>
  </w:num>
  <w:num w:numId="8" w16cid:durableId="1827286022">
    <w:abstractNumId w:val="0"/>
  </w:num>
  <w:num w:numId="9" w16cid:durableId="8430869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2B"/>
    <w:rsid w:val="0012456B"/>
    <w:rsid w:val="00133C0D"/>
    <w:rsid w:val="0041692C"/>
    <w:rsid w:val="00510284"/>
    <w:rsid w:val="00523C49"/>
    <w:rsid w:val="006E7C9A"/>
    <w:rsid w:val="00726F2B"/>
    <w:rsid w:val="009D4917"/>
    <w:rsid w:val="00A82DB1"/>
    <w:rsid w:val="00B00FAA"/>
    <w:rsid w:val="00CC6B17"/>
    <w:rsid w:val="00F8414F"/>
    <w:rsid w:val="00F96F52"/>
    <w:rsid w:val="00FF23F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031CD353"/>
  <w15:docId w15:val="{FE67C1A8-6F3D-CF47-A326-EEDE1A09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C"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96410"/>
    <w:pPr>
      <w:tabs>
        <w:tab w:val="center" w:pos="4252"/>
        <w:tab w:val="right" w:pos="8504"/>
      </w:tabs>
    </w:pPr>
  </w:style>
  <w:style w:type="character" w:customStyle="1" w:styleId="EncabezadoCar">
    <w:name w:val="Encabezado Car"/>
    <w:basedOn w:val="Fuentedeprrafopredeter"/>
    <w:link w:val="Encabezado"/>
    <w:uiPriority w:val="99"/>
    <w:rsid w:val="00796410"/>
  </w:style>
  <w:style w:type="paragraph" w:styleId="Piedepgina">
    <w:name w:val="footer"/>
    <w:basedOn w:val="Normal"/>
    <w:link w:val="PiedepginaCar"/>
    <w:uiPriority w:val="99"/>
    <w:unhideWhenUsed/>
    <w:rsid w:val="00796410"/>
    <w:pPr>
      <w:tabs>
        <w:tab w:val="center" w:pos="4252"/>
        <w:tab w:val="right" w:pos="8504"/>
      </w:tabs>
    </w:pPr>
  </w:style>
  <w:style w:type="character" w:customStyle="1" w:styleId="PiedepginaCar">
    <w:name w:val="Pie de página Car"/>
    <w:basedOn w:val="Fuentedeprrafopredeter"/>
    <w:link w:val="Piedepgina"/>
    <w:uiPriority w:val="99"/>
    <w:rsid w:val="00796410"/>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523C49"/>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2DB1"/>
    <w:pPr>
      <w:spacing w:before="100" w:beforeAutospacing="1" w:after="100" w:afterAutospacing="1"/>
    </w:pPr>
    <w:rPr>
      <w:rFonts w:ascii="Times New Roman" w:eastAsia="Times New Roman" w:hAnsi="Times New Roman" w:cs="Times New Roman"/>
      <w:lang w:eastAsia="en-US"/>
    </w:rPr>
  </w:style>
  <w:style w:type="paragraph" w:styleId="Prrafodelista">
    <w:name w:val="List Paragraph"/>
    <w:basedOn w:val="Normal"/>
    <w:uiPriority w:val="34"/>
    <w:qFormat/>
    <w:rsid w:val="00F8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XnGh9fR5+/Vd7s3TafiluE1dLg==">CgMxLjA4AHIhMUdLTkdidmNPY044X1JBazJseWMtRTVKdHFFS0lqTnBa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7349</Words>
  <Characters>40424</Characters>
  <Application>Microsoft Office Word</Application>
  <DocSecurity>0</DocSecurity>
  <Lines>336</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2024-04-10T02:08:00Z</cp:lastPrinted>
  <dcterms:created xsi:type="dcterms:W3CDTF">2024-04-09T16:40:00Z</dcterms:created>
  <dcterms:modified xsi:type="dcterms:W3CDTF">2024-04-10T02:59:00Z</dcterms:modified>
</cp:coreProperties>
</file>