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F8" w:rsidRDefault="008C76F8" w:rsidP="00696D76"/>
    <w:p w:rsidR="008C76F8" w:rsidRDefault="008C76F8" w:rsidP="008C76F8">
      <w:pPr>
        <w:jc w:val="center"/>
        <w:rPr>
          <w:rFonts w:ascii="Helvetic neue" w:hAnsi="Helvetic neue"/>
          <w:b/>
          <w:color w:val="4BACC6" w:themeColor="accent5"/>
          <w:sz w:val="32"/>
          <w:szCs w:val="32"/>
        </w:rPr>
      </w:pPr>
      <w:r w:rsidRPr="008C76F8">
        <w:rPr>
          <w:rFonts w:ascii="Helvetic neue" w:hAnsi="Helvetic neue"/>
          <w:b/>
          <w:color w:val="4BACC6" w:themeColor="accent5"/>
          <w:sz w:val="32"/>
          <w:szCs w:val="32"/>
        </w:rPr>
        <w:t>Datos Caso Hogar Seguro, Guatemala</w:t>
      </w:r>
      <w:r>
        <w:rPr>
          <w:rStyle w:val="Refdenotaalpie"/>
          <w:rFonts w:ascii="Helvetic neue" w:hAnsi="Helvetic neue"/>
          <w:b/>
          <w:color w:val="4BACC6" w:themeColor="accent5"/>
          <w:sz w:val="32"/>
          <w:szCs w:val="32"/>
        </w:rPr>
        <w:footnoteReference w:id="2"/>
      </w:r>
    </w:p>
    <w:p w:rsidR="00AA6A12" w:rsidRDefault="00AA6A12" w:rsidP="008C76F8">
      <w:pPr>
        <w:jc w:val="center"/>
        <w:rPr>
          <w:rFonts w:ascii="Helvetic neue" w:hAnsi="Helvetic neue"/>
          <w:b/>
          <w:color w:val="4BACC6" w:themeColor="accent5"/>
          <w:sz w:val="32"/>
          <w:szCs w:val="32"/>
        </w:rPr>
      </w:pPr>
    </w:p>
    <w:tbl>
      <w:tblPr>
        <w:tblStyle w:val="Tablaconcuadrcula"/>
        <w:tblW w:w="1074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10740"/>
      </w:tblGrid>
      <w:tr w:rsidR="00AA6A12" w:rsidTr="000804C7">
        <w:trPr>
          <w:trHeight w:val="1741"/>
        </w:trPr>
        <w:tc>
          <w:tcPr>
            <w:tcW w:w="10740" w:type="dxa"/>
          </w:tcPr>
          <w:p w:rsidR="00AA6A12" w:rsidRDefault="00AA6A12" w:rsidP="00FE3A41">
            <w:pPr>
              <w:jc w:val="both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  <w:r>
              <w:rPr>
                <w:rFonts w:ascii="Helvetic neue" w:hAnsi="Helvetic neue"/>
                <w:sz w:val="28"/>
                <w:szCs w:val="28"/>
              </w:rPr>
              <w:t>El Hogar Seguro Virgen de la Asunción</w:t>
            </w:r>
            <w:r w:rsidR="00FE3A41">
              <w:rPr>
                <w:rFonts w:ascii="Helvetic neue" w:hAnsi="Helvetic neue"/>
                <w:sz w:val="28"/>
                <w:szCs w:val="28"/>
              </w:rPr>
              <w:t xml:space="preserve"> (lugar de protección y abrigo de NNA en conflicto con la ley)</w:t>
            </w:r>
            <w:r>
              <w:rPr>
                <w:rFonts w:ascii="Helvetic neue" w:hAnsi="Helvetic neue"/>
                <w:sz w:val="28"/>
                <w:szCs w:val="28"/>
              </w:rPr>
              <w:t>, a cargo de la Secretaría de Bienestar  Social</w:t>
            </w:r>
            <w:r w:rsidR="00C816B6">
              <w:rPr>
                <w:rFonts w:ascii="Helvetic neue" w:hAnsi="Helvetic neue"/>
                <w:sz w:val="28"/>
                <w:szCs w:val="28"/>
              </w:rPr>
              <w:t xml:space="preserve"> de la Presi</w:t>
            </w:r>
            <w:r w:rsidR="00FE3A41">
              <w:rPr>
                <w:rFonts w:ascii="Helvetic neue" w:hAnsi="Helvetic neue"/>
                <w:sz w:val="28"/>
                <w:szCs w:val="28"/>
              </w:rPr>
              <w:t>dencia (SBSP) tenía</w:t>
            </w:r>
            <w:r>
              <w:rPr>
                <w:rFonts w:ascii="Helvetic neue" w:hAnsi="Helvetic neue"/>
                <w:sz w:val="28"/>
                <w:szCs w:val="28"/>
              </w:rPr>
              <w:t xml:space="preserve"> </w:t>
            </w:r>
            <w:r w:rsidRPr="00FE3A41">
              <w:rPr>
                <w:rFonts w:ascii="Helvetic neue" w:hAnsi="Helvetic neue"/>
                <w:color w:val="C0504D" w:themeColor="accent2"/>
                <w:sz w:val="28"/>
                <w:szCs w:val="28"/>
              </w:rPr>
              <w:t xml:space="preserve">antecedentes </w:t>
            </w:r>
            <w:r w:rsidRPr="00514513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de m</w:t>
            </w:r>
            <w:r w:rsidR="00FE3A41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 xml:space="preserve">altratos, violaciones sexuales, constantes fugas y </w:t>
            </w:r>
            <w:r w:rsidRPr="00514513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agresiones entre adolescentes que llegaron incluso a la muerte</w:t>
            </w:r>
            <w:r w:rsidR="00FE3A41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.</w:t>
            </w:r>
          </w:p>
        </w:tc>
      </w:tr>
      <w:tr w:rsidR="00AA6A12" w:rsidTr="000804C7">
        <w:tc>
          <w:tcPr>
            <w:tcW w:w="10740" w:type="dxa"/>
          </w:tcPr>
          <w:p w:rsidR="00AA6A12" w:rsidRDefault="00AA6A12" w:rsidP="00AA6A12">
            <w:pPr>
              <w:jc w:val="both"/>
              <w:rPr>
                <w:rFonts w:ascii="Helvetic neue" w:hAnsi="Helvetic neue"/>
                <w:sz w:val="28"/>
                <w:szCs w:val="28"/>
              </w:rPr>
            </w:pPr>
          </w:p>
          <w:p w:rsidR="00AA6A12" w:rsidRPr="00CC005C" w:rsidRDefault="00AA6A12" w:rsidP="00AA6A12">
            <w:pPr>
              <w:jc w:val="both"/>
              <w:rPr>
                <w:rFonts w:ascii="Helvetic neue" w:hAnsi="Helvetic neue"/>
                <w:sz w:val="28"/>
                <w:szCs w:val="28"/>
              </w:rPr>
            </w:pPr>
            <w:r>
              <w:rPr>
                <w:rFonts w:ascii="Helvetic neue" w:hAnsi="Helvetic neue"/>
                <w:sz w:val="28"/>
                <w:szCs w:val="28"/>
              </w:rPr>
              <w:t>E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n 2013 </w:t>
            </w:r>
            <w:r w:rsidRPr="00514513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estaba claro que el hogar era inseguro y que representaba un peligro para los menores de edad ahí recluidos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. En octubre de ese año una </w:t>
            </w:r>
            <w:r w:rsidRPr="00FE3A41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adolescente de 14 años fue asesinada por dos de sus compañeras,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 de 14 y 15, quienes la estrangularon con una bufanda.</w:t>
            </w:r>
          </w:p>
          <w:p w:rsidR="00AA6A12" w:rsidRDefault="00AA6A12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</w:p>
        </w:tc>
      </w:tr>
      <w:tr w:rsidR="00AA6A12" w:rsidTr="000804C7">
        <w:tc>
          <w:tcPr>
            <w:tcW w:w="10740" w:type="dxa"/>
          </w:tcPr>
          <w:p w:rsidR="00AA6A12" w:rsidRPr="00514513" w:rsidRDefault="00AA6A12" w:rsidP="00AA6A12">
            <w:pPr>
              <w:jc w:val="both"/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</w:pPr>
            <w:r>
              <w:rPr>
                <w:rFonts w:ascii="Helvetic neue" w:hAnsi="Helvetic neue"/>
                <w:sz w:val="28"/>
                <w:szCs w:val="28"/>
              </w:rPr>
              <w:t>En 2016 la Procuraduría de Derechos Humanos</w:t>
            </w:r>
            <w:r w:rsidR="00FE3A41">
              <w:rPr>
                <w:rFonts w:ascii="Helvetic neue" w:hAnsi="Helvetic neue"/>
                <w:sz w:val="28"/>
                <w:szCs w:val="28"/>
              </w:rPr>
              <w:t xml:space="preserve"> presentó una denuncia </w:t>
            </w:r>
            <w:r>
              <w:rPr>
                <w:rFonts w:ascii="Helvetic neue" w:hAnsi="Helvetic neue"/>
                <w:sz w:val="28"/>
                <w:szCs w:val="28"/>
              </w:rPr>
              <w:t xml:space="preserve">por la </w:t>
            </w:r>
            <w:r w:rsidRPr="00514513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posible existencia de una red de trata, maltrato a niños, niñas y adolescentes</w:t>
            </w:r>
            <w:r>
              <w:rPr>
                <w:rFonts w:ascii="Helvetic neue" w:hAnsi="Helvetic neue"/>
                <w:sz w:val="28"/>
                <w:szCs w:val="28"/>
              </w:rPr>
              <w:t xml:space="preserve"> en el hogar de abrigo y protección a cargo de la SBSP, </w:t>
            </w:r>
            <w:r w:rsidRPr="00514513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pero igual, el lugar siguió funcionando.</w:t>
            </w:r>
          </w:p>
          <w:p w:rsidR="00AA6A12" w:rsidRDefault="00AA6A12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</w:p>
        </w:tc>
      </w:tr>
      <w:tr w:rsidR="00AA6A12" w:rsidTr="000804C7">
        <w:tc>
          <w:tcPr>
            <w:tcW w:w="10740" w:type="dxa"/>
          </w:tcPr>
          <w:p w:rsidR="00AA6A12" w:rsidRPr="00CC005C" w:rsidRDefault="00AA6A12" w:rsidP="00AA6A12">
            <w:pPr>
              <w:jc w:val="both"/>
              <w:rPr>
                <w:rFonts w:ascii="Helvetic neue" w:hAnsi="Helvetic neue"/>
                <w:sz w:val="28"/>
                <w:szCs w:val="28"/>
              </w:rPr>
            </w:pPr>
            <w:r>
              <w:rPr>
                <w:rFonts w:ascii="Helvetic neue" w:hAnsi="Helvetic neue"/>
                <w:sz w:val="28"/>
                <w:szCs w:val="28"/>
              </w:rPr>
              <w:t>E</w:t>
            </w:r>
            <w:r w:rsidRPr="00CC005C">
              <w:rPr>
                <w:rFonts w:ascii="Helvetic neue" w:hAnsi="Helvetic neue"/>
                <w:sz w:val="28"/>
                <w:szCs w:val="28"/>
              </w:rPr>
              <w:t>l Hogar Seguro</w:t>
            </w:r>
            <w:r>
              <w:rPr>
                <w:rFonts w:ascii="Helvetic neue" w:hAnsi="Helvetic neue"/>
                <w:sz w:val="28"/>
                <w:szCs w:val="28"/>
              </w:rPr>
              <w:t xml:space="preserve">, institución estatal, </w:t>
            </w:r>
            <w:r w:rsidRPr="00AA6A12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>no contaba con personal técnico y profesional suficiente para la atención de niñez y adolescencia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 albergada; además, </w:t>
            </w:r>
            <w:r w:rsidRPr="00AA6A12">
              <w:rPr>
                <w:rFonts w:ascii="Helvetic neue" w:hAnsi="Helvetic neue"/>
                <w:color w:val="943634" w:themeColor="accent2" w:themeShade="BF"/>
                <w:sz w:val="28"/>
                <w:szCs w:val="28"/>
              </w:rPr>
              <w:t xml:space="preserve">por falta de presupuesto, no cumple con las condiciones mínimas que garanticen la atención integral </w:t>
            </w:r>
            <w:r>
              <w:rPr>
                <w:rFonts w:ascii="Helvetic neue" w:hAnsi="Helvetic neue"/>
                <w:sz w:val="28"/>
                <w:szCs w:val="28"/>
              </w:rPr>
              <w:t>de estos</w:t>
            </w:r>
            <w:r w:rsidRPr="00CC005C">
              <w:rPr>
                <w:rFonts w:ascii="Helvetic neue" w:hAnsi="Helvetic neue"/>
                <w:sz w:val="28"/>
                <w:szCs w:val="28"/>
              </w:rPr>
              <w:t>.</w:t>
            </w:r>
          </w:p>
          <w:p w:rsidR="00AA6A12" w:rsidRDefault="00AA6A12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</w:p>
        </w:tc>
      </w:tr>
      <w:tr w:rsidR="00AA6A12" w:rsidTr="000804C7">
        <w:tc>
          <w:tcPr>
            <w:tcW w:w="10740" w:type="dxa"/>
          </w:tcPr>
          <w:p w:rsidR="00AA6A12" w:rsidRDefault="00AA6A12" w:rsidP="00AA6A12">
            <w:pPr>
              <w:jc w:val="both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  <w:r w:rsidRPr="00AA6A12">
              <w:rPr>
                <w:rFonts w:ascii="Helvetic neue" w:hAnsi="Helvetic neue"/>
                <w:sz w:val="28"/>
                <w:szCs w:val="28"/>
              </w:rPr>
              <w:t xml:space="preserve">Las niñas y adolescentes recluidas en esta institución protestaron en varias ocasiones por la </w:t>
            </w:r>
            <w:r w:rsidRPr="00AA6A12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violencia que sufrían dentro de la Institución,  por parte de los monitores y de sus pares.</w:t>
            </w:r>
          </w:p>
        </w:tc>
      </w:tr>
      <w:tr w:rsidR="00AA6A12" w:rsidTr="000804C7">
        <w:tc>
          <w:tcPr>
            <w:tcW w:w="10740" w:type="dxa"/>
          </w:tcPr>
          <w:p w:rsidR="00AA6A12" w:rsidRPr="00CC005C" w:rsidRDefault="00AA6A12" w:rsidP="00AA6A12">
            <w:pPr>
              <w:jc w:val="both"/>
              <w:rPr>
                <w:rFonts w:ascii="Helvetic neue" w:hAnsi="Helvetic neue"/>
                <w:sz w:val="28"/>
                <w:szCs w:val="28"/>
              </w:rPr>
            </w:pPr>
            <w:r w:rsidRPr="00CC005C">
              <w:rPr>
                <w:rFonts w:ascii="Helvetic neue" w:hAnsi="Helvetic neue"/>
                <w:sz w:val="28"/>
                <w:szCs w:val="28"/>
              </w:rPr>
              <w:t>El incendio de 2017, provocado por un grupo de internas (niñas y adolescentes) en protesta</w:t>
            </w:r>
            <w:r>
              <w:rPr>
                <w:rFonts w:ascii="Helvetic neue" w:hAnsi="Helvetic neue"/>
                <w:sz w:val="28"/>
                <w:szCs w:val="28"/>
              </w:rPr>
              <w:t>,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 </w:t>
            </w:r>
            <w:r>
              <w:rPr>
                <w:rFonts w:ascii="Helvetic neue" w:hAnsi="Helvetic neue"/>
                <w:sz w:val="28"/>
                <w:szCs w:val="28"/>
              </w:rPr>
              <w:t>no fue el primero pues y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a había ocurrido otro en 2013 y en </w:t>
            </w:r>
            <w:r w:rsidRPr="00FE3A41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ambas situaciones se evidenció la inexistencia de un protocolo de seguridad en casos de accidentes.</w:t>
            </w:r>
          </w:p>
          <w:p w:rsidR="00AA6A12" w:rsidRDefault="00AA6A12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</w:p>
        </w:tc>
      </w:tr>
      <w:tr w:rsidR="00AA6A12" w:rsidTr="000804C7">
        <w:tc>
          <w:tcPr>
            <w:tcW w:w="10740" w:type="dxa"/>
          </w:tcPr>
          <w:p w:rsidR="00AA6A12" w:rsidRPr="00CC005C" w:rsidRDefault="00AA6A12" w:rsidP="00AA6A12">
            <w:pPr>
              <w:jc w:val="both"/>
              <w:rPr>
                <w:rFonts w:ascii="Helvetic neue" w:hAnsi="Helvetic neue"/>
                <w:sz w:val="28"/>
                <w:szCs w:val="28"/>
              </w:rPr>
            </w:pPr>
            <w:r>
              <w:rPr>
                <w:rFonts w:ascii="Helvetic neue" w:hAnsi="Helvetic neue"/>
                <w:sz w:val="28"/>
                <w:szCs w:val="28"/>
              </w:rPr>
              <w:t xml:space="preserve">Más de 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37 </w:t>
            </w:r>
            <w:r w:rsidRPr="00AA6A12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niñas y adolescentes mueren</w:t>
            </w:r>
            <w:r w:rsidRPr="00CC005C">
              <w:rPr>
                <w:rFonts w:ascii="Helvetic neue" w:hAnsi="Helvetic neue"/>
                <w:sz w:val="28"/>
                <w:szCs w:val="28"/>
              </w:rPr>
              <w:t xml:space="preserve"> en incendio por inhalación de monóxido de carbono y por las graves quemaduras</w:t>
            </w:r>
            <w:r>
              <w:rPr>
                <w:rFonts w:ascii="Helvetic neue" w:hAnsi="Helvetic neue"/>
                <w:sz w:val="28"/>
                <w:szCs w:val="28"/>
              </w:rPr>
              <w:t xml:space="preserve">. Las fallecidas </w:t>
            </w:r>
            <w:r w:rsidRPr="00C816B6">
              <w:rPr>
                <w:rFonts w:ascii="Helvetic neue" w:hAnsi="Helvetic neue"/>
                <w:color w:val="C0504D" w:themeColor="accent2"/>
                <w:sz w:val="28"/>
                <w:szCs w:val="28"/>
              </w:rPr>
              <w:t xml:space="preserve">se encontraban bajo llave como castigo </w:t>
            </w:r>
            <w:r w:rsidRPr="00CC005C">
              <w:rPr>
                <w:rFonts w:ascii="Helvetic neue" w:hAnsi="Helvetic neue"/>
                <w:sz w:val="28"/>
                <w:szCs w:val="28"/>
              </w:rPr>
              <w:t>y p</w:t>
            </w:r>
            <w:r w:rsidR="00C816B6">
              <w:rPr>
                <w:rFonts w:ascii="Helvetic neue" w:hAnsi="Helvetic neue"/>
                <w:sz w:val="28"/>
                <w:szCs w:val="28"/>
              </w:rPr>
              <w:t>revención para que no continuara</w:t>
            </w:r>
            <w:r w:rsidRPr="00CC005C">
              <w:rPr>
                <w:rFonts w:ascii="Helvetic neue" w:hAnsi="Helvetic neue"/>
                <w:sz w:val="28"/>
                <w:szCs w:val="28"/>
              </w:rPr>
              <w:t>n alterando el orden.</w:t>
            </w:r>
          </w:p>
          <w:p w:rsidR="00AA6A12" w:rsidRDefault="00AA6A12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</w:p>
        </w:tc>
      </w:tr>
      <w:tr w:rsidR="00AA6A12" w:rsidTr="000804C7">
        <w:tc>
          <w:tcPr>
            <w:tcW w:w="10740" w:type="dxa"/>
          </w:tcPr>
          <w:p w:rsidR="00AA6A12" w:rsidRDefault="00FE3A41" w:rsidP="008C76F8">
            <w:pPr>
              <w:jc w:val="center"/>
              <w:rPr>
                <w:rFonts w:ascii="Helvetic neue" w:hAnsi="Helvetic neue"/>
                <w:b/>
                <w:color w:val="4BACC6" w:themeColor="accent5"/>
                <w:sz w:val="32"/>
                <w:szCs w:val="32"/>
              </w:rPr>
            </w:pPr>
            <w:r w:rsidRPr="00FE3A41">
              <w:rPr>
                <w:rFonts w:ascii="Helvetic neue" w:hAnsi="Helvetic neue"/>
                <w:sz w:val="28"/>
                <w:szCs w:val="28"/>
              </w:rPr>
              <w:t xml:space="preserve">Cuando había protestas de rechazo a los </w:t>
            </w:r>
            <w:r w:rsidRPr="00FE3A41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monitores la Policía Nacional Civil (PNC) intervenía</w:t>
            </w:r>
            <w:r>
              <w:rPr>
                <w:rFonts w:ascii="Helvetic neue" w:hAnsi="Helvetic neue"/>
                <w:color w:val="C0504D" w:themeColor="accent2"/>
                <w:sz w:val="28"/>
                <w:szCs w:val="28"/>
              </w:rPr>
              <w:t xml:space="preserve"> la Institución. </w:t>
            </w:r>
          </w:p>
        </w:tc>
      </w:tr>
      <w:tr w:rsidR="003901BD" w:rsidTr="000804C7">
        <w:tc>
          <w:tcPr>
            <w:tcW w:w="10740" w:type="dxa"/>
          </w:tcPr>
          <w:p w:rsidR="003901BD" w:rsidRPr="00FE3A41" w:rsidRDefault="003901BD" w:rsidP="008C76F8">
            <w:pPr>
              <w:jc w:val="center"/>
              <w:rPr>
                <w:rFonts w:ascii="Helvetic neue" w:hAnsi="Helvetic neue"/>
                <w:sz w:val="28"/>
                <w:szCs w:val="28"/>
              </w:rPr>
            </w:pPr>
            <w:r>
              <w:rPr>
                <w:rFonts w:ascii="Helvetic neue" w:hAnsi="Helvetic neue"/>
                <w:sz w:val="28"/>
                <w:szCs w:val="28"/>
              </w:rPr>
              <w:t xml:space="preserve">Cuando </w:t>
            </w:r>
            <w:r>
              <w:rPr>
                <w:rFonts w:ascii="Helvetic neue" w:hAnsi="Helvetic neue" w:hint="eastAsia"/>
                <w:sz w:val="28"/>
                <w:szCs w:val="28"/>
              </w:rPr>
              <w:t>había</w:t>
            </w:r>
            <w:r>
              <w:rPr>
                <w:rFonts w:ascii="Helvetic neue" w:hAnsi="Helvetic neue"/>
                <w:sz w:val="28"/>
                <w:szCs w:val="28"/>
              </w:rPr>
              <w:t xml:space="preserve"> fugas de NNA del Hogar Virgen de la Asunción, </w:t>
            </w:r>
            <w:r w:rsidRPr="003901BD">
              <w:rPr>
                <w:rFonts w:ascii="Helvetic neue" w:hAnsi="Helvetic neue"/>
                <w:color w:val="C0504D" w:themeColor="accent2"/>
                <w:sz w:val="28"/>
                <w:szCs w:val="28"/>
              </w:rPr>
              <w:t>eran detenidos por la Policía Nacional Civil y devueltos al sitio.</w:t>
            </w:r>
            <w:r>
              <w:rPr>
                <w:rFonts w:ascii="Helvetic neue" w:hAnsi="Helvetic neue"/>
                <w:sz w:val="28"/>
                <w:szCs w:val="28"/>
              </w:rPr>
              <w:t xml:space="preserve"> </w:t>
            </w:r>
          </w:p>
        </w:tc>
      </w:tr>
    </w:tbl>
    <w:p w:rsidR="00AA6A12" w:rsidRPr="00CC005C" w:rsidRDefault="00AA6A12" w:rsidP="00514513">
      <w:pPr>
        <w:jc w:val="both"/>
        <w:rPr>
          <w:rFonts w:ascii="Helvetic neue" w:hAnsi="Helvetic neue"/>
          <w:sz w:val="28"/>
          <w:szCs w:val="28"/>
        </w:rPr>
      </w:pPr>
    </w:p>
    <w:sectPr w:rsidR="00AA6A12" w:rsidRPr="00CC005C" w:rsidSect="003901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CA" w:rsidRDefault="005904CA" w:rsidP="008C76F8">
      <w:pPr>
        <w:spacing w:after="0" w:line="240" w:lineRule="auto"/>
      </w:pPr>
      <w:r>
        <w:separator/>
      </w:r>
    </w:p>
  </w:endnote>
  <w:endnote w:type="continuationSeparator" w:id="1">
    <w:p w:rsidR="005904CA" w:rsidRDefault="005904CA" w:rsidP="008C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CA" w:rsidRDefault="005904CA" w:rsidP="008C76F8">
      <w:pPr>
        <w:spacing w:after="0" w:line="240" w:lineRule="auto"/>
      </w:pPr>
      <w:r>
        <w:separator/>
      </w:r>
    </w:p>
  </w:footnote>
  <w:footnote w:type="continuationSeparator" w:id="1">
    <w:p w:rsidR="005904CA" w:rsidRDefault="005904CA" w:rsidP="008C76F8">
      <w:pPr>
        <w:spacing w:after="0" w:line="240" w:lineRule="auto"/>
      </w:pPr>
      <w:r>
        <w:continuationSeparator/>
      </w:r>
    </w:p>
  </w:footnote>
  <w:footnote w:id="2">
    <w:p w:rsidR="008C76F8" w:rsidRPr="00647BD1" w:rsidRDefault="008C76F8">
      <w:pPr>
        <w:pStyle w:val="Textonotapie"/>
        <w:rPr>
          <w:rFonts w:ascii="Helvetic neue" w:hAnsi="Helvetic neue"/>
          <w:lang w:val="es-EC"/>
        </w:rPr>
      </w:pPr>
      <w:r w:rsidRPr="00647BD1">
        <w:rPr>
          <w:rStyle w:val="Refdenotaalpie"/>
          <w:rFonts w:ascii="Helvetic neue" w:hAnsi="Helvetic neue"/>
        </w:rPr>
        <w:footnoteRef/>
      </w:r>
      <w:r w:rsidRPr="00647BD1">
        <w:rPr>
          <w:rFonts w:ascii="Helvetic neue" w:hAnsi="Helvetic neue"/>
        </w:rPr>
        <w:t xml:space="preserve"> </w:t>
      </w:r>
      <w:r w:rsidRPr="00647BD1">
        <w:rPr>
          <w:rFonts w:ascii="Helvetic neue" w:hAnsi="Helvetic neue"/>
          <w:lang w:val="es-EC"/>
        </w:rPr>
        <w:t xml:space="preserve">Adaptado de </w:t>
      </w:r>
      <w:r w:rsidR="00647BD1" w:rsidRPr="00647BD1">
        <w:rPr>
          <w:rFonts w:ascii="Helvetic neue" w:hAnsi="Helvetic neue"/>
          <w:i/>
          <w:lang w:val="es-EC"/>
        </w:rPr>
        <w:t>Crónica de una Tragedia</w:t>
      </w:r>
      <w:r w:rsidR="00647BD1" w:rsidRPr="00647BD1">
        <w:rPr>
          <w:rFonts w:ascii="Helvetic neue" w:hAnsi="Helvetic neue"/>
          <w:lang w:val="es-EC"/>
        </w:rPr>
        <w:t xml:space="preserve"> de </w:t>
      </w:r>
      <w:r w:rsidR="00647BD1" w:rsidRPr="00647BD1">
        <w:rPr>
          <w:rFonts w:ascii="Helvetic neue" w:hAnsi="Helvetic neue"/>
        </w:rPr>
        <w:t xml:space="preserve">Rodrigo Pérez, 11 de marzo de 2017. Publicada en </w:t>
      </w:r>
      <w:hyperlink r:id="rId1" w:history="1">
        <w:r w:rsidR="00647BD1" w:rsidRPr="00647BD1">
          <w:rPr>
            <w:rStyle w:val="Hipervnculo"/>
            <w:rFonts w:ascii="Helvetic neue" w:hAnsi="Helvetic neue"/>
          </w:rPr>
          <w:t>http://republica.gt/2017/03/11/cronica-de-una-tragedia-anunciada/</w:t>
        </w:r>
      </w:hyperlink>
      <w:r w:rsidR="00647BD1" w:rsidRPr="00647BD1">
        <w:rPr>
          <w:rFonts w:ascii="Helvetic neue" w:hAnsi="Helvetic neue"/>
          <w:lang w:val="es-EC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F8" w:rsidRDefault="008C76F8">
    <w:pPr>
      <w:pStyle w:val="Encabezado"/>
    </w:pPr>
    <w:r w:rsidRPr="008C76F8">
      <w:drawing>
        <wp:inline distT="0" distB="0" distL="0" distR="0">
          <wp:extent cx="1552575" cy="561975"/>
          <wp:effectExtent l="1905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l="4861" t="36444" r="1944" b="11111"/>
                  <a:stretch/>
                </pic:blipFill>
                <pic:spPr>
                  <a:xfrm>
                    <a:off x="0" y="0"/>
                    <a:ext cx="1554576" cy="56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D76"/>
    <w:rsid w:val="000804C7"/>
    <w:rsid w:val="003901BD"/>
    <w:rsid w:val="00514513"/>
    <w:rsid w:val="005904CA"/>
    <w:rsid w:val="00647BD1"/>
    <w:rsid w:val="00696D76"/>
    <w:rsid w:val="008C76F8"/>
    <w:rsid w:val="008E0164"/>
    <w:rsid w:val="009E5AA4"/>
    <w:rsid w:val="00AA6A12"/>
    <w:rsid w:val="00B77BC7"/>
    <w:rsid w:val="00C816B6"/>
    <w:rsid w:val="00CC005C"/>
    <w:rsid w:val="00DD4889"/>
    <w:rsid w:val="00DF0F47"/>
    <w:rsid w:val="00E52B2C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7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C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76F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C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76F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6F8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76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76F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76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47BD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A6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publica.gt/2017/03/11/cronica-de-una-tragedia-anuncia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89E1-A4A9-4474-BF3E-2D16462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moniKa Asiri</cp:lastModifiedBy>
  <cp:revision>8</cp:revision>
  <dcterms:created xsi:type="dcterms:W3CDTF">2018-03-14T20:18:00Z</dcterms:created>
  <dcterms:modified xsi:type="dcterms:W3CDTF">2018-03-15T19:38:00Z</dcterms:modified>
</cp:coreProperties>
</file>