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5E8" w:rsidRPr="00E83700" w:rsidRDefault="00313935" w:rsidP="00313935">
      <w:pPr>
        <w:jc w:val="both"/>
        <w:rPr>
          <w:rFonts w:ascii="Times New Roman" w:hAnsi="Times New Roman" w:cs="Times New Roman"/>
        </w:rPr>
      </w:pPr>
      <w:r w:rsidRPr="00E83700">
        <w:rPr>
          <w:rFonts w:ascii="Times New Roman" w:hAnsi="Times New Roman" w:cs="Times New Roman"/>
        </w:rPr>
        <w:t>Concepto de derechos humanos</w:t>
      </w:r>
    </w:p>
    <w:p w:rsidR="00313935" w:rsidRPr="00E83700" w:rsidRDefault="00313935" w:rsidP="00313935">
      <w:pPr>
        <w:jc w:val="both"/>
        <w:rPr>
          <w:rFonts w:ascii="Times New Roman" w:hAnsi="Times New Roman" w:cs="Times New Roman"/>
        </w:rPr>
      </w:pPr>
    </w:p>
    <w:p w:rsidR="00313935" w:rsidRPr="00E83700" w:rsidRDefault="00313935" w:rsidP="00313935">
      <w:pPr>
        <w:jc w:val="both"/>
        <w:rPr>
          <w:rFonts w:ascii="Times New Roman" w:hAnsi="Times New Roman" w:cs="Times New Roman"/>
        </w:rPr>
      </w:pPr>
      <w:r w:rsidRPr="00E83700">
        <w:rPr>
          <w:rFonts w:ascii="Times New Roman" w:hAnsi="Times New Roman" w:cs="Times New Roman"/>
        </w:rPr>
        <w:t xml:space="preserve">Durante muchos años, se ha tratado de definir qué se debe entender por los derechos humanos. En esta breve lectura presentamos algunos abordajes sobre el concepto de derechos humanos, para esto, revisaremos lecturas provenientes de diferentes fuentes para, así, mostrar un panorama general. </w:t>
      </w:r>
    </w:p>
    <w:p w:rsidR="00313935" w:rsidRPr="00E83700" w:rsidRDefault="00313935" w:rsidP="00313935">
      <w:pPr>
        <w:jc w:val="both"/>
        <w:rPr>
          <w:rFonts w:ascii="Times New Roman" w:hAnsi="Times New Roman" w:cs="Times New Roman"/>
        </w:rPr>
      </w:pPr>
    </w:p>
    <w:p w:rsidR="00313935" w:rsidRPr="00E83700" w:rsidRDefault="00313935" w:rsidP="00313935">
      <w:pPr>
        <w:jc w:val="both"/>
        <w:rPr>
          <w:rFonts w:ascii="Times New Roman" w:eastAsia="Times New Roman" w:hAnsi="Times New Roman" w:cs="Times New Roman"/>
          <w:color w:val="000000"/>
          <w:lang w:eastAsia="es-ES_tradnl"/>
        </w:rPr>
      </w:pPr>
      <w:r w:rsidRPr="00E83700">
        <w:rPr>
          <w:rFonts w:ascii="Times New Roman" w:hAnsi="Times New Roman" w:cs="Times New Roman"/>
        </w:rPr>
        <w:t xml:space="preserve">Desde lo teórico, </w:t>
      </w:r>
      <w:r w:rsidRPr="00313935">
        <w:rPr>
          <w:rFonts w:ascii="Times New Roman" w:eastAsia="Times New Roman" w:hAnsi="Times New Roman" w:cs="Times New Roman"/>
          <w:color w:val="000000"/>
          <w:lang w:eastAsia="es-ES_tradnl"/>
        </w:rPr>
        <w:t>Pérez</w:t>
      </w:r>
      <w:r w:rsidR="009D6209">
        <w:rPr>
          <w:rFonts w:ascii="Times New Roman" w:eastAsia="Times New Roman" w:hAnsi="Times New Roman" w:cs="Times New Roman"/>
          <w:color w:val="000000"/>
          <w:lang w:eastAsia="es-ES_tradnl"/>
        </w:rPr>
        <w:t xml:space="preserve"> </w:t>
      </w:r>
      <w:r w:rsidRPr="00313935">
        <w:rPr>
          <w:rFonts w:ascii="Times New Roman" w:eastAsia="Times New Roman" w:hAnsi="Times New Roman" w:cs="Times New Roman"/>
          <w:color w:val="000000"/>
          <w:lang w:eastAsia="es-ES_tradnl"/>
        </w:rPr>
        <w:t>Luño</w:t>
      </w:r>
      <w:r w:rsidR="009D6209">
        <w:rPr>
          <w:rFonts w:ascii="Times New Roman" w:eastAsia="Times New Roman" w:hAnsi="Times New Roman" w:cs="Times New Roman"/>
          <w:color w:val="000000"/>
          <w:lang w:eastAsia="es-ES_tradnl"/>
        </w:rPr>
        <w:t xml:space="preserve"> </w:t>
      </w:r>
      <w:r w:rsidR="001205ED" w:rsidRPr="00E83700">
        <w:rPr>
          <w:rFonts w:ascii="Times New Roman" w:eastAsia="Times New Roman" w:hAnsi="Times New Roman" w:cs="Times New Roman"/>
          <w:color w:val="000000"/>
          <w:lang w:eastAsia="es-ES_tradnl"/>
        </w:rPr>
        <w:t>señala</w:t>
      </w:r>
      <w:r w:rsidRPr="00E83700">
        <w:rPr>
          <w:rFonts w:ascii="Times New Roman" w:eastAsia="Times New Roman" w:hAnsi="Times New Roman" w:cs="Times New Roman"/>
          <w:color w:val="000000"/>
          <w:lang w:eastAsia="es-ES_tradnl"/>
        </w:rPr>
        <w:t xml:space="preserve"> que "(l)</w:t>
      </w:r>
      <w:r w:rsidRPr="00313935">
        <w:rPr>
          <w:rFonts w:ascii="Times New Roman" w:eastAsia="Times New Roman" w:hAnsi="Times New Roman" w:cs="Times New Roman"/>
          <w:color w:val="000000"/>
          <w:lang w:eastAsia="es-ES_tradnl"/>
        </w:rPr>
        <w:t xml:space="preserve">os derechos humanos </w:t>
      </w:r>
      <w:r w:rsidRPr="00E83700">
        <w:rPr>
          <w:rFonts w:ascii="Times New Roman" w:eastAsia="Times New Roman" w:hAnsi="Times New Roman" w:cs="Times New Roman"/>
          <w:color w:val="000000"/>
          <w:lang w:eastAsia="es-ES_tradnl"/>
        </w:rPr>
        <w:t xml:space="preserve">[son] </w:t>
      </w:r>
      <w:r w:rsidRPr="00313935">
        <w:rPr>
          <w:rFonts w:ascii="Times New Roman" w:eastAsia="Times New Roman" w:hAnsi="Times New Roman" w:cs="Times New Roman"/>
          <w:color w:val="000000"/>
          <w:lang w:eastAsia="es-ES_tradnl"/>
        </w:rPr>
        <w:t xml:space="preserve">un conjunto de facultades e instituciones que, en cada momento </w:t>
      </w:r>
      <w:r w:rsidR="001205ED" w:rsidRPr="00E83700">
        <w:rPr>
          <w:rFonts w:ascii="Times New Roman" w:eastAsia="Times New Roman" w:hAnsi="Times New Roman" w:cs="Times New Roman"/>
          <w:color w:val="000000"/>
          <w:lang w:eastAsia="es-ES_tradnl"/>
        </w:rPr>
        <w:t>histórico</w:t>
      </w:r>
      <w:r w:rsidRPr="00313935">
        <w:rPr>
          <w:rFonts w:ascii="Times New Roman" w:eastAsia="Times New Roman" w:hAnsi="Times New Roman" w:cs="Times New Roman"/>
          <w:color w:val="000000"/>
          <w:lang w:eastAsia="es-ES_tradnl"/>
        </w:rPr>
        <w:t xml:space="preserve">, concretan las exigencias de la dignidad, la libertad y la igualdad humanas, las cuales deben ser reconocidas positivamente por los ordenamientos </w:t>
      </w:r>
      <w:r w:rsidR="001205ED" w:rsidRPr="00E83700">
        <w:rPr>
          <w:rFonts w:ascii="Times New Roman" w:eastAsia="Times New Roman" w:hAnsi="Times New Roman" w:cs="Times New Roman"/>
          <w:color w:val="000000"/>
          <w:lang w:eastAsia="es-ES_tradnl"/>
        </w:rPr>
        <w:t>jurídicos</w:t>
      </w:r>
      <w:r w:rsidRPr="00313935">
        <w:rPr>
          <w:rFonts w:ascii="Times New Roman" w:eastAsia="Times New Roman" w:hAnsi="Times New Roman" w:cs="Times New Roman"/>
          <w:color w:val="000000"/>
          <w:lang w:eastAsia="es-ES_tradnl"/>
        </w:rPr>
        <w:t xml:space="preserve"> a nivel nacional e internacional"</w:t>
      </w:r>
      <w:r w:rsidRPr="00E83700">
        <w:rPr>
          <w:rStyle w:val="Refdenotaalpie"/>
          <w:rFonts w:ascii="Times New Roman" w:eastAsia="Times New Roman" w:hAnsi="Times New Roman" w:cs="Times New Roman"/>
          <w:color w:val="000000"/>
          <w:lang w:eastAsia="es-ES_tradnl"/>
        </w:rPr>
        <w:footnoteReference w:id="2"/>
      </w:r>
      <w:r w:rsidR="001205ED" w:rsidRPr="00E83700">
        <w:rPr>
          <w:rFonts w:ascii="Times New Roman" w:eastAsia="Times New Roman" w:hAnsi="Times New Roman" w:cs="Times New Roman"/>
          <w:color w:val="000000"/>
          <w:lang w:eastAsia="es-ES_tradnl"/>
        </w:rPr>
        <w:t>Esta definición nos permite evidenciar el carácter histórico de los derechos. En este sentido, no son prebendas otorgadas simplemente por los Estados, sino que son el resultado de luchas históricas</w:t>
      </w:r>
      <w:r w:rsidR="00F854A3" w:rsidRPr="00E83700">
        <w:rPr>
          <w:rFonts w:ascii="Times New Roman" w:eastAsia="Times New Roman" w:hAnsi="Times New Roman" w:cs="Times New Roman"/>
          <w:color w:val="000000"/>
          <w:lang w:eastAsia="es-ES_tradnl"/>
        </w:rPr>
        <w:t xml:space="preserve"> de la humanidad en contra de situaciones de abusos de derechos. </w:t>
      </w:r>
      <w:r w:rsidR="00351B19" w:rsidRPr="00E83700">
        <w:rPr>
          <w:rFonts w:ascii="Times New Roman" w:eastAsia="Times New Roman" w:hAnsi="Times New Roman" w:cs="Times New Roman"/>
          <w:color w:val="000000"/>
          <w:lang w:eastAsia="es-ES_tradnl"/>
        </w:rPr>
        <w:t xml:space="preserve">Como vimos en el video </w:t>
      </w:r>
      <w:r w:rsidR="00351B19" w:rsidRPr="00E83700">
        <w:rPr>
          <w:rFonts w:ascii="Times New Roman" w:eastAsia="Times New Roman" w:hAnsi="Times New Roman" w:cs="Times New Roman"/>
          <w:i/>
          <w:color w:val="000000"/>
          <w:lang w:eastAsia="es-ES_tradnl"/>
        </w:rPr>
        <w:t>La historia de los derechos humanos</w:t>
      </w:r>
      <w:r w:rsidR="00351B19" w:rsidRPr="00E83700">
        <w:rPr>
          <w:rFonts w:ascii="Times New Roman" w:eastAsia="Times New Roman" w:hAnsi="Times New Roman" w:cs="Times New Roman"/>
          <w:color w:val="000000"/>
          <w:lang w:eastAsia="es-ES_tradnl"/>
        </w:rPr>
        <w:t xml:space="preserve">, las personas hemos debido luchar constantemente frente a situaciones </w:t>
      </w:r>
      <w:r w:rsidR="00FE2AD9" w:rsidRPr="00E83700">
        <w:rPr>
          <w:rFonts w:ascii="Times New Roman" w:eastAsia="Times New Roman" w:hAnsi="Times New Roman" w:cs="Times New Roman"/>
          <w:color w:val="000000"/>
          <w:lang w:eastAsia="es-ES_tradnl"/>
        </w:rPr>
        <w:t xml:space="preserve">que vulneran los derechos y los diferentes instrumentos normativos que reconocen derechos serán el resultado de este proceso. </w:t>
      </w:r>
    </w:p>
    <w:p w:rsidR="00351B19" w:rsidRPr="00E83700" w:rsidRDefault="00351B19" w:rsidP="00313935">
      <w:pPr>
        <w:jc w:val="both"/>
        <w:rPr>
          <w:rFonts w:ascii="Times New Roman" w:eastAsia="Times New Roman" w:hAnsi="Times New Roman" w:cs="Times New Roman"/>
          <w:color w:val="000000"/>
          <w:lang w:eastAsia="es-ES_tradnl"/>
        </w:rPr>
      </w:pPr>
      <w:bookmarkStart w:id="0" w:name="_GoBack"/>
      <w:bookmarkEnd w:id="0"/>
    </w:p>
    <w:p w:rsidR="00351B19" w:rsidRPr="00E83700" w:rsidRDefault="00FE2AD9" w:rsidP="00313935">
      <w:pPr>
        <w:jc w:val="both"/>
        <w:rPr>
          <w:rFonts w:ascii="Times New Roman" w:eastAsia="Times New Roman" w:hAnsi="Times New Roman" w:cs="Times New Roman"/>
          <w:color w:val="000000"/>
          <w:lang w:eastAsia="es-ES_tradnl"/>
        </w:rPr>
      </w:pPr>
      <w:r w:rsidRPr="00E83700">
        <w:rPr>
          <w:rFonts w:ascii="Times New Roman" w:eastAsia="Times New Roman" w:hAnsi="Times New Roman" w:cs="Times New Roman"/>
          <w:color w:val="000000"/>
          <w:lang w:eastAsia="es-ES_tradnl"/>
        </w:rPr>
        <w:t xml:space="preserve">En el mismo sentido, </w:t>
      </w:r>
      <w:r w:rsidR="00351B19" w:rsidRPr="00E83700">
        <w:rPr>
          <w:rFonts w:ascii="Times New Roman" w:eastAsia="Times New Roman" w:hAnsi="Times New Roman" w:cs="Times New Roman"/>
          <w:color w:val="000000"/>
          <w:lang w:eastAsia="es-ES_tradnl"/>
        </w:rPr>
        <w:t>Pisarello y Aparicio establecen que "(l)</w:t>
      </w:r>
      <w:r w:rsidR="00351B19" w:rsidRPr="00313935">
        <w:rPr>
          <w:rFonts w:ascii="Times New Roman" w:eastAsia="Times New Roman" w:hAnsi="Times New Roman" w:cs="Times New Roman"/>
          <w:color w:val="000000"/>
          <w:lang w:eastAsia="es-ES_tradnl"/>
        </w:rPr>
        <w:t xml:space="preserve">os derechos son pretensiones o expectativas que un sujeto, de manera fundada, tiene de que otros sujetos hagan o dejen de hacer algo en </w:t>
      </w:r>
      <w:r w:rsidRPr="00E83700">
        <w:rPr>
          <w:rFonts w:ascii="Times New Roman" w:eastAsia="Times New Roman" w:hAnsi="Times New Roman" w:cs="Times New Roman"/>
          <w:color w:val="000000"/>
          <w:lang w:eastAsia="es-ES_tradnl"/>
        </w:rPr>
        <w:t>relación</w:t>
      </w:r>
      <w:r w:rsidR="00351B19" w:rsidRPr="00313935">
        <w:rPr>
          <w:rFonts w:ascii="Times New Roman" w:eastAsia="Times New Roman" w:hAnsi="Times New Roman" w:cs="Times New Roman"/>
          <w:color w:val="000000"/>
          <w:lang w:eastAsia="es-ES_tradnl"/>
        </w:rPr>
        <w:t xml:space="preserve"> con sus intereses o necesidades."</w:t>
      </w:r>
      <w:r w:rsidR="00F6716D" w:rsidRPr="00E83700">
        <w:rPr>
          <w:rStyle w:val="Refdenotaalpie"/>
          <w:rFonts w:ascii="Times New Roman" w:eastAsia="Times New Roman" w:hAnsi="Times New Roman" w:cs="Times New Roman"/>
          <w:color w:val="000000"/>
          <w:lang w:eastAsia="es-ES_tradnl"/>
        </w:rPr>
        <w:footnoteReference w:id="3"/>
      </w:r>
      <w:r w:rsidRPr="00E83700">
        <w:rPr>
          <w:rFonts w:ascii="Times New Roman" w:eastAsia="Times New Roman" w:hAnsi="Times New Roman" w:cs="Times New Roman"/>
          <w:color w:val="000000"/>
          <w:lang w:eastAsia="es-ES_tradnl"/>
        </w:rPr>
        <w:t xml:space="preserve">Así, frente a los titulares de derechos (las personas), aparecen los titulares de obligaciones: aquellas entidades que deberán adecuar su conducta para asegurar el pleno ejercicio de mis derechos.  En este sentido, el Estado, como principal titular de derechos, deberá organizar su actuar para respetar y garantizar los derechos (sobre este punto volveremos más tarde en la unidad relativa a las obligaciones de los derechos). </w:t>
      </w:r>
    </w:p>
    <w:p w:rsidR="00FE2AD9" w:rsidRPr="00E83700" w:rsidRDefault="00FE2AD9" w:rsidP="00313935">
      <w:pPr>
        <w:jc w:val="both"/>
        <w:rPr>
          <w:rFonts w:ascii="Times New Roman" w:eastAsia="Times New Roman" w:hAnsi="Times New Roman" w:cs="Times New Roman"/>
          <w:color w:val="000000"/>
          <w:lang w:eastAsia="es-ES_tradnl"/>
        </w:rPr>
      </w:pPr>
    </w:p>
    <w:p w:rsidR="00FE2AD9" w:rsidRPr="00E83700" w:rsidRDefault="00FE2AD9" w:rsidP="00313935">
      <w:pPr>
        <w:jc w:val="both"/>
        <w:rPr>
          <w:rFonts w:ascii="Times New Roman" w:eastAsia="Times New Roman" w:hAnsi="Times New Roman" w:cs="Times New Roman"/>
          <w:color w:val="000000"/>
          <w:lang w:eastAsia="es-ES_tradnl"/>
        </w:rPr>
      </w:pPr>
      <w:r w:rsidRPr="00E83700">
        <w:rPr>
          <w:rFonts w:ascii="Times New Roman" w:eastAsia="Times New Roman" w:hAnsi="Times New Roman" w:cs="Times New Roman"/>
          <w:color w:val="000000"/>
          <w:lang w:eastAsia="es-ES_tradnl"/>
        </w:rPr>
        <w:t>La definición presentada por la Defensoría del Pueblo del Ecuador recoge aspectos similares. Así, “(l)</w:t>
      </w:r>
      <w:r w:rsidRPr="00313935">
        <w:rPr>
          <w:rFonts w:ascii="Times New Roman" w:eastAsia="Times New Roman" w:hAnsi="Times New Roman" w:cs="Times New Roman"/>
          <w:color w:val="000000"/>
          <w:lang w:eastAsia="es-ES_tradnl"/>
        </w:rPr>
        <w:t>os derechos humanos son facultades, libertades y atributos que tienen todas las personas por su condición humana. Los derechos humanos permiten desarrollar una vida digna y direccionar el ejercicio del poder, están en continuo desarrollo y reconocimiento y no es necesario que se encuentren consagrados en normas legales para exigir su cumplimiento</w:t>
      </w:r>
      <w:r w:rsidRPr="00E83700">
        <w:rPr>
          <w:rFonts w:ascii="Times New Roman" w:eastAsia="Times New Roman" w:hAnsi="Times New Roman" w:cs="Times New Roman"/>
          <w:color w:val="000000"/>
          <w:lang w:eastAsia="es-ES_tradnl"/>
        </w:rPr>
        <w:t>.”</w:t>
      </w:r>
      <w:r w:rsidRPr="00E83700">
        <w:rPr>
          <w:rStyle w:val="Refdenotaalpie"/>
          <w:rFonts w:ascii="Times New Roman" w:eastAsia="Times New Roman" w:hAnsi="Times New Roman" w:cs="Times New Roman"/>
          <w:color w:val="000000"/>
          <w:lang w:eastAsia="es-ES_tradnl"/>
        </w:rPr>
        <w:footnoteReference w:id="4"/>
      </w:r>
      <w:r w:rsidR="00C04057" w:rsidRPr="00E83700">
        <w:rPr>
          <w:rFonts w:ascii="Times New Roman" w:eastAsia="Times New Roman" w:hAnsi="Times New Roman" w:cs="Times New Roman"/>
          <w:color w:val="000000"/>
          <w:lang w:eastAsia="es-ES_tradnl"/>
        </w:rPr>
        <w:t xml:space="preserve"> Este último elemento reafirma lo que se mencionó anteriormente con respecto a que los derechos no son regalos dados por el Es</w:t>
      </w:r>
      <w:r w:rsidR="009326A7" w:rsidRPr="00E83700">
        <w:rPr>
          <w:rFonts w:ascii="Times New Roman" w:eastAsia="Times New Roman" w:hAnsi="Times New Roman" w:cs="Times New Roman"/>
          <w:color w:val="000000"/>
          <w:lang w:eastAsia="es-ES_tradnl"/>
        </w:rPr>
        <w:t>tado al reconocerlos en normas (sea cual sea su naturaleza).</w:t>
      </w:r>
    </w:p>
    <w:p w:rsidR="00C04057" w:rsidRPr="00E83700" w:rsidRDefault="00C04057" w:rsidP="00313935">
      <w:pPr>
        <w:jc w:val="both"/>
        <w:rPr>
          <w:rFonts w:ascii="Times New Roman" w:eastAsia="Times New Roman" w:hAnsi="Times New Roman" w:cs="Times New Roman"/>
          <w:color w:val="000000"/>
          <w:lang w:eastAsia="es-ES_tradnl"/>
        </w:rPr>
      </w:pPr>
    </w:p>
    <w:p w:rsidR="00C04057" w:rsidRPr="00E83700" w:rsidRDefault="00C04057" w:rsidP="00313935">
      <w:pPr>
        <w:jc w:val="both"/>
        <w:rPr>
          <w:rFonts w:ascii="Times New Roman" w:eastAsia="Times New Roman" w:hAnsi="Times New Roman" w:cs="Times New Roman"/>
          <w:color w:val="000000"/>
          <w:lang w:eastAsia="es-ES_tradnl"/>
        </w:rPr>
      </w:pPr>
      <w:r w:rsidRPr="00E83700">
        <w:rPr>
          <w:rFonts w:ascii="Times New Roman" w:eastAsia="Times New Roman" w:hAnsi="Times New Roman" w:cs="Times New Roman"/>
          <w:color w:val="000000"/>
          <w:lang w:eastAsia="es-ES_tradnl"/>
        </w:rPr>
        <w:t xml:space="preserve">Para la Oficina del Alto Comisionado de las Naciones Unidas para los Derechos Humanos, “los </w:t>
      </w:r>
      <w:r w:rsidR="00FE2AD9" w:rsidRPr="00313935">
        <w:rPr>
          <w:rFonts w:ascii="Times New Roman" w:eastAsia="Times New Roman" w:hAnsi="Times New Roman" w:cs="Times New Roman"/>
          <w:color w:val="000000"/>
          <w:lang w:eastAsia="es-ES_tradnl"/>
        </w:rPr>
        <w:t>derechos humanos son derechos inherentes a todos los seres humanos, sin distinción alguna de nacionalidad, lugar de residencia, sexo, origen nacional o étnico, color, religión, lengua, o cualquier otra condición. Todos tenemos los mismos derechos hum</w:t>
      </w:r>
      <w:r w:rsidRPr="00E83700">
        <w:rPr>
          <w:rFonts w:ascii="Times New Roman" w:eastAsia="Times New Roman" w:hAnsi="Times New Roman" w:cs="Times New Roman"/>
          <w:color w:val="000000"/>
          <w:lang w:eastAsia="es-ES_tradnl"/>
        </w:rPr>
        <w:t>anos, sin discriminación alguna.”</w:t>
      </w:r>
      <w:r w:rsidR="004427D2" w:rsidRPr="00E83700">
        <w:rPr>
          <w:rFonts w:ascii="Times New Roman" w:eastAsia="Times New Roman" w:hAnsi="Times New Roman" w:cs="Times New Roman"/>
          <w:color w:val="000000"/>
          <w:lang w:eastAsia="es-ES_tradnl"/>
        </w:rPr>
        <w:t xml:space="preserve"> Esta definición, a pesar de ser tautológica y no ahondar en la esencia del concepto de derecho, permite anotar un </w:t>
      </w:r>
      <w:r w:rsidR="004427D2" w:rsidRPr="00E83700">
        <w:rPr>
          <w:rFonts w:ascii="Times New Roman" w:eastAsia="Times New Roman" w:hAnsi="Times New Roman" w:cs="Times New Roman"/>
          <w:color w:val="000000"/>
          <w:lang w:eastAsia="es-ES_tradnl"/>
        </w:rPr>
        <w:lastRenderedPageBreak/>
        <w:t>elemento fundamental que es la prohibición de discriminació</w:t>
      </w:r>
      <w:r w:rsidR="00504511" w:rsidRPr="00E83700">
        <w:rPr>
          <w:rFonts w:ascii="Times New Roman" w:eastAsia="Times New Roman" w:hAnsi="Times New Roman" w:cs="Times New Roman"/>
          <w:color w:val="000000"/>
          <w:lang w:eastAsia="es-ES_tradnl"/>
        </w:rPr>
        <w:t>n y su contraparte que es la igualdad. Como se ve en el gráfico siguiente, los fundamentos de</w:t>
      </w:r>
      <w:r w:rsidR="002C1ACF" w:rsidRPr="00E83700">
        <w:rPr>
          <w:rFonts w:ascii="Times New Roman" w:eastAsia="Times New Roman" w:hAnsi="Times New Roman" w:cs="Times New Roman"/>
          <w:color w:val="000000"/>
          <w:lang w:eastAsia="es-ES_tradnl"/>
        </w:rPr>
        <w:t xml:space="preserve"> los derechos humanos son la dignidad, la libertad y la igualdad (gráfico 1)</w:t>
      </w:r>
    </w:p>
    <w:p w:rsidR="00313935" w:rsidRPr="00E83700" w:rsidRDefault="00FE2AD9" w:rsidP="00313935">
      <w:pPr>
        <w:jc w:val="both"/>
        <w:rPr>
          <w:rFonts w:ascii="Times New Roman" w:hAnsi="Times New Roman" w:cs="Times New Roman"/>
        </w:rPr>
      </w:pPr>
      <w:r w:rsidRPr="00313935">
        <w:rPr>
          <w:rFonts w:ascii="Times New Roman" w:eastAsia="Times New Roman" w:hAnsi="Times New Roman" w:cs="Times New Roman"/>
          <w:color w:val="000000"/>
          <w:lang w:eastAsia="es-ES_tradnl"/>
        </w:rPr>
        <w:br/>
      </w:r>
      <w:r w:rsidR="002C1ACF" w:rsidRPr="00E83700">
        <w:rPr>
          <w:rFonts w:ascii="Times New Roman" w:hAnsi="Times New Roman" w:cs="Times New Roman"/>
          <w:noProof/>
          <w:lang w:val="es-EC" w:eastAsia="es-EC"/>
        </w:rPr>
        <w:drawing>
          <wp:inline distT="0" distB="0" distL="0" distR="0">
            <wp:extent cx="5396230" cy="3147695"/>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04511" w:rsidRPr="00E83700" w:rsidRDefault="00504511" w:rsidP="00313935">
      <w:pPr>
        <w:jc w:val="both"/>
        <w:rPr>
          <w:rFonts w:ascii="Times New Roman" w:hAnsi="Times New Roman" w:cs="Times New Roman"/>
        </w:rPr>
      </w:pPr>
    </w:p>
    <w:p w:rsidR="00504511" w:rsidRPr="00E83700" w:rsidRDefault="002C1ACF" w:rsidP="00313935">
      <w:pPr>
        <w:jc w:val="both"/>
        <w:rPr>
          <w:rFonts w:ascii="Times New Roman" w:hAnsi="Times New Roman" w:cs="Times New Roman"/>
        </w:rPr>
      </w:pPr>
      <w:r w:rsidRPr="00E83700">
        <w:rPr>
          <w:rFonts w:ascii="Times New Roman" w:hAnsi="Times New Roman" w:cs="Times New Roman"/>
        </w:rPr>
        <w:t>Gráfico 1: fundamento de los derechos humanos.</w:t>
      </w:r>
    </w:p>
    <w:p w:rsidR="00504511" w:rsidRPr="00E83700" w:rsidRDefault="00504511" w:rsidP="00313935">
      <w:pPr>
        <w:jc w:val="both"/>
        <w:rPr>
          <w:rFonts w:ascii="Times New Roman" w:hAnsi="Times New Roman" w:cs="Times New Roman"/>
        </w:rPr>
      </w:pPr>
    </w:p>
    <w:p w:rsidR="009326A7" w:rsidRPr="00E83700" w:rsidRDefault="00F6716D" w:rsidP="00F6716D">
      <w:pPr>
        <w:jc w:val="both"/>
        <w:rPr>
          <w:rFonts w:ascii="Times New Roman" w:eastAsia="Times New Roman" w:hAnsi="Times New Roman" w:cs="Times New Roman"/>
          <w:lang w:eastAsia="es-ES_tradnl"/>
        </w:rPr>
      </w:pPr>
      <w:r w:rsidRPr="00E83700">
        <w:rPr>
          <w:rFonts w:ascii="Times New Roman" w:hAnsi="Times New Roman" w:cs="Times New Roman"/>
        </w:rPr>
        <w:t xml:space="preserve">En el marco de estos derechos, la persona desarrolla su vida con un proyecto íntimo. La Corte Interamericana de Derechos Humanos señaló que </w:t>
      </w:r>
      <w:r w:rsidRPr="00E83700">
        <w:rPr>
          <w:rFonts w:ascii="Times New Roman" w:eastAsia="Times New Roman" w:hAnsi="Times New Roman" w:cs="Times New Roman"/>
          <w:lang w:eastAsia="es-ES_tradnl"/>
        </w:rPr>
        <w:t xml:space="preserve">éste es </w:t>
      </w:r>
      <w:r w:rsidR="00313935" w:rsidRPr="00313935">
        <w:rPr>
          <w:rFonts w:ascii="Times New Roman" w:eastAsia="Times New Roman" w:hAnsi="Times New Roman" w:cs="Times New Roman"/>
          <w:lang w:eastAsia="es-ES_tradnl"/>
        </w:rPr>
        <w:t>“aquel plan que sueña y construye una persona para desarrollarse a su más alto nivel, de acuerdo con sus potencialidades y aspiraciones, expectativas personales, profesionales y familiares en el marco del respeto a los derechos humanos”</w:t>
      </w:r>
      <w:r w:rsidRPr="00E83700">
        <w:rPr>
          <w:rStyle w:val="Refdenotaalpie"/>
          <w:rFonts w:ascii="Times New Roman" w:eastAsia="Times New Roman" w:hAnsi="Times New Roman" w:cs="Times New Roman"/>
          <w:lang w:eastAsia="es-ES_tradnl"/>
        </w:rPr>
        <w:footnoteReference w:id="5"/>
      </w:r>
      <w:r w:rsidR="004A2B76" w:rsidRPr="00E83700">
        <w:rPr>
          <w:rFonts w:ascii="Times New Roman" w:eastAsia="Times New Roman" w:hAnsi="Times New Roman" w:cs="Times New Roman"/>
          <w:lang w:eastAsia="es-ES_tradnl"/>
        </w:rPr>
        <w:t xml:space="preserve"> En el marco de esto, se puede afirmar que, d</w:t>
      </w:r>
      <w:r w:rsidR="00313935" w:rsidRPr="00313935">
        <w:rPr>
          <w:rFonts w:ascii="Times New Roman" w:eastAsia="Times New Roman" w:hAnsi="Times New Roman" w:cs="Times New Roman"/>
          <w:lang w:eastAsia="es-ES_tradnl"/>
        </w:rPr>
        <w:t xml:space="preserve">esde un punto de vista instrumental, </w:t>
      </w:r>
      <w:r w:rsidR="004A2B76" w:rsidRPr="00E83700">
        <w:rPr>
          <w:rFonts w:ascii="Times New Roman" w:eastAsia="Times New Roman" w:hAnsi="Times New Roman" w:cs="Times New Roman"/>
          <w:lang w:eastAsia="es-ES_tradnl"/>
        </w:rPr>
        <w:t>“</w:t>
      </w:r>
      <w:r w:rsidR="00313935" w:rsidRPr="00313935">
        <w:rPr>
          <w:rFonts w:ascii="Times New Roman" w:eastAsia="Times New Roman" w:hAnsi="Times New Roman" w:cs="Times New Roman"/>
          <w:lang w:eastAsia="es-ES_tradnl"/>
        </w:rPr>
        <w:t>que los derechos humanos son las “herramientas” que hacen posible que cada persona pueda construir y cumplir su proyecto de vida.</w:t>
      </w:r>
      <w:r w:rsidR="004A2B76" w:rsidRPr="00E83700">
        <w:rPr>
          <w:rFonts w:ascii="Times New Roman" w:eastAsia="Times New Roman" w:hAnsi="Times New Roman" w:cs="Times New Roman"/>
          <w:lang w:eastAsia="es-ES_tradnl"/>
        </w:rPr>
        <w:t>”</w:t>
      </w:r>
      <w:r w:rsidR="009326A7" w:rsidRPr="00E83700">
        <w:rPr>
          <w:rStyle w:val="Refdenotaalpie"/>
          <w:rFonts w:ascii="Times New Roman" w:eastAsia="Times New Roman" w:hAnsi="Times New Roman" w:cs="Times New Roman"/>
          <w:lang w:eastAsia="es-ES_tradnl"/>
        </w:rPr>
        <w:footnoteReference w:id="6"/>
      </w:r>
      <w:r w:rsidR="009326A7" w:rsidRPr="00E83700">
        <w:rPr>
          <w:rFonts w:ascii="Times New Roman" w:eastAsia="Times New Roman" w:hAnsi="Times New Roman" w:cs="Times New Roman"/>
          <w:lang w:eastAsia="es-ES_tradnl"/>
        </w:rPr>
        <w:t>En este sentido, afirma Nikken</w:t>
      </w:r>
      <w:r w:rsidR="000B1A74" w:rsidRPr="00E83700">
        <w:rPr>
          <w:rFonts w:ascii="Times New Roman" w:eastAsia="Times New Roman" w:hAnsi="Times New Roman" w:cs="Times New Roman"/>
          <w:lang w:eastAsia="es-ES_tradnl"/>
        </w:rPr>
        <w:t xml:space="preserve"> que los derechos humanos se convierten en metas de acción del poder público</w:t>
      </w:r>
      <w:r w:rsidR="000B1A74" w:rsidRPr="00E83700">
        <w:rPr>
          <w:rStyle w:val="Refdenotaalpie"/>
          <w:rFonts w:ascii="Times New Roman" w:eastAsia="Times New Roman" w:hAnsi="Times New Roman" w:cs="Times New Roman"/>
          <w:lang w:eastAsia="es-ES_tradnl"/>
        </w:rPr>
        <w:footnoteReference w:id="7"/>
      </w:r>
      <w:r w:rsidR="000B1A74" w:rsidRPr="00E83700">
        <w:rPr>
          <w:rFonts w:ascii="Times New Roman" w:eastAsia="Times New Roman" w:hAnsi="Times New Roman" w:cs="Times New Roman"/>
          <w:lang w:eastAsia="es-ES_tradnl"/>
        </w:rPr>
        <w:t xml:space="preserve"> que deben enmarcarse en lograr el pleno ejercicio de los derechos de las personas sometidas a su jurisdicción. </w:t>
      </w:r>
    </w:p>
    <w:p w:rsidR="00313935" w:rsidRPr="00313935" w:rsidRDefault="00313935" w:rsidP="00313935">
      <w:pPr>
        <w:rPr>
          <w:rFonts w:ascii="Times New Roman" w:eastAsia="Times New Roman" w:hAnsi="Times New Roman" w:cs="Times New Roman"/>
          <w:lang w:eastAsia="es-ES_tradnl"/>
        </w:rPr>
      </w:pPr>
    </w:p>
    <w:p w:rsidR="00313935" w:rsidRDefault="00313935" w:rsidP="00313935">
      <w:pPr>
        <w:jc w:val="both"/>
      </w:pPr>
    </w:p>
    <w:p w:rsidR="00313935" w:rsidRDefault="00313935" w:rsidP="00313935">
      <w:pPr>
        <w:jc w:val="both"/>
      </w:pPr>
    </w:p>
    <w:p w:rsidR="00313935" w:rsidRDefault="00313935" w:rsidP="00313935">
      <w:pPr>
        <w:jc w:val="both"/>
      </w:pPr>
    </w:p>
    <w:sectPr w:rsidR="00313935" w:rsidSect="006F0F67">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C13" w:rsidRDefault="00D81C13" w:rsidP="00313935">
      <w:r>
        <w:separator/>
      </w:r>
    </w:p>
  </w:endnote>
  <w:endnote w:type="continuationSeparator" w:id="1">
    <w:p w:rsidR="00D81C13" w:rsidRDefault="00D81C13" w:rsidP="003139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C13" w:rsidRDefault="00D81C13" w:rsidP="00313935">
      <w:r>
        <w:separator/>
      </w:r>
    </w:p>
  </w:footnote>
  <w:footnote w:type="continuationSeparator" w:id="1">
    <w:p w:rsidR="00D81C13" w:rsidRDefault="00D81C13" w:rsidP="00313935">
      <w:r>
        <w:continuationSeparator/>
      </w:r>
    </w:p>
  </w:footnote>
  <w:footnote w:id="2">
    <w:p w:rsidR="00313935" w:rsidRPr="00F6716D" w:rsidRDefault="00313935">
      <w:pPr>
        <w:pStyle w:val="Textonotapie"/>
      </w:pPr>
      <w:r>
        <w:rPr>
          <w:rStyle w:val="Refdenotaalpie"/>
        </w:rPr>
        <w:footnoteRef/>
      </w:r>
      <w:r w:rsidRPr="00313935">
        <w:rPr>
          <w:rFonts w:ascii="Calibri" w:eastAsia="Times New Roman" w:hAnsi="Calibri" w:cs="Times New Roman"/>
          <w:color w:val="000000"/>
          <w:lang w:eastAsia="es-ES_tradnl"/>
        </w:rPr>
        <w:t xml:space="preserve">Antonio Enrique PérezLuño. </w:t>
      </w:r>
      <w:r w:rsidRPr="00313935">
        <w:rPr>
          <w:rFonts w:ascii="Calibri" w:eastAsia="Times New Roman" w:hAnsi="Calibri" w:cs="Times New Roman"/>
          <w:i/>
          <w:iCs/>
          <w:color w:val="000000"/>
          <w:lang w:eastAsia="es-ES_tradnl"/>
        </w:rPr>
        <w:t>Los derechos fundamentales</w:t>
      </w:r>
      <w:r w:rsidRPr="00313935">
        <w:rPr>
          <w:rFonts w:ascii="Calibri" w:eastAsia="Times New Roman" w:hAnsi="Calibri" w:cs="Times New Roman"/>
          <w:color w:val="000000"/>
          <w:lang w:eastAsia="es-ES_tradnl"/>
        </w:rPr>
        <w:t>. (Madrid: Tecnos, 2011) p. 42</w:t>
      </w:r>
    </w:p>
  </w:footnote>
  <w:footnote w:id="3">
    <w:p w:rsidR="00F6716D" w:rsidRPr="00F6716D" w:rsidRDefault="00F6716D">
      <w:pPr>
        <w:pStyle w:val="Textonotapie"/>
      </w:pPr>
      <w:r>
        <w:rPr>
          <w:rStyle w:val="Refdenotaalpie"/>
        </w:rPr>
        <w:footnoteRef/>
      </w:r>
      <w:r w:rsidR="003C00B1">
        <w:fldChar w:fldCharType="begin"/>
      </w:r>
      <w:r>
        <w:instrText xml:space="preserve"> ADDIN ZOTERO_ITEM CSL_CITATION {"citationID":"U2a2PWSX","properties":{"formattedCitation":"{\\rtf Marco Aparicio y Gerardo Pisarello, \\uc0\\u171{}Los derechos humanos y sus garant\\uc0\\u237{}as\\uc0\\u187{}, en {\\i{}Los derechos humanos en el siglo XXI. Continuidad y cambios}, Jordi Bonet i P\\uc0\\u233{}rez y V\\uc0\\u237{}ctor S\\uc0\\u225{}nchez (Espa\\uc0\\u241{}a: Huygens, 2008).}","plainCitation":"Marco Aparicio y Gerardo Pisarello, «Los derechos humanos y sus garantías», en Los derechos humanos en el siglo XXI. Continuidad y cambios, Jordi Bonet i Pérez y Víctor Sánchez (España: Huygens, 2008)."},"citationItems":[{"id":87,"uris":["http://zotero.org/users/2489424/items/TF5U67F8"],"uri":["http://zotero.org/users/2489424/items/TF5U67F8"],"itemData":{"id":87,"type":"chapter","title":"Los derechos humanos y sus garantías","container-title":"Los derechos humanos en el siglo XXI. Continuidad y cambios","publisher":"Huygens","publisher-place":"España","edition":"Jordi Bonet i Pérez y Víctor Sánchez","event-place":"España","author":[{"family":"Aparicio","given":"Marco"},{"family":"Pisarello","given":"Gerardo"}],"issued":{"date-parts":[["2008"]]}}}],"schema":"https://github.com/citation-style-language/schema/raw/master/csl-citation.json"} </w:instrText>
      </w:r>
      <w:r w:rsidR="003C00B1">
        <w:fldChar w:fldCharType="separate"/>
      </w:r>
      <w:r w:rsidRPr="00F6716D">
        <w:rPr>
          <w:rFonts w:ascii="Calibri" w:eastAsia="Times New Roman" w:cs="Times New Roman"/>
        </w:rPr>
        <w:t xml:space="preserve">Marco Aparicio y Gerardo Pisarello, «Los derechos humanos y sus garantías», en </w:t>
      </w:r>
      <w:r w:rsidRPr="00F6716D">
        <w:rPr>
          <w:rFonts w:ascii="Calibri" w:eastAsia="Times New Roman" w:cs="Times New Roman"/>
          <w:i/>
          <w:iCs/>
        </w:rPr>
        <w:t>Los derechos humanos en el siglo XXI. Continuidad y cambios</w:t>
      </w:r>
      <w:r w:rsidRPr="00F6716D">
        <w:rPr>
          <w:rFonts w:ascii="Calibri" w:eastAsia="Times New Roman" w:cs="Times New Roman"/>
        </w:rPr>
        <w:t>, Jordi Bonet i Pérez y Víctor Sánchez (España: Huygens, 2008).</w:t>
      </w:r>
      <w:r w:rsidR="003C00B1">
        <w:fldChar w:fldCharType="end"/>
      </w:r>
    </w:p>
  </w:footnote>
  <w:footnote w:id="4">
    <w:p w:rsidR="00FE2AD9" w:rsidRPr="009D6209" w:rsidRDefault="00FE2AD9">
      <w:pPr>
        <w:pStyle w:val="Textonotapie"/>
        <w:rPr>
          <w:lang w:val="es-EC"/>
        </w:rPr>
      </w:pPr>
      <w:r>
        <w:rPr>
          <w:rStyle w:val="Refdenotaalpie"/>
        </w:rPr>
        <w:footnoteRef/>
      </w:r>
      <w:hyperlink r:id="rId1" w:history="1">
        <w:r w:rsidRPr="009D6209">
          <w:rPr>
            <w:rStyle w:val="Hipervnculo"/>
            <w:lang w:val="es-EC"/>
          </w:rPr>
          <w:t>www.dpe.gob.ec</w:t>
        </w:r>
      </w:hyperlink>
    </w:p>
  </w:footnote>
  <w:footnote w:id="5">
    <w:p w:rsidR="00F6716D" w:rsidRPr="00F6716D" w:rsidRDefault="00F6716D">
      <w:pPr>
        <w:pStyle w:val="Textonotapie"/>
      </w:pPr>
      <w:r>
        <w:rPr>
          <w:rStyle w:val="Refdenotaalpie"/>
        </w:rPr>
        <w:footnoteRef/>
      </w:r>
      <w:fldSimple w:instr=" ADDIN ZOTERO_TEMP ">
        <w:r>
          <w:rPr>
            <w:noProof/>
          </w:rPr>
          <w:t>Corte IDH, Caso Tibi Vs. Ecuador. Excepciones Preliminares, Fondo, Reparaciones y Costas., No. Serie C No. 114 (7 de septiembre de 2004), párr. 245.</w:t>
        </w:r>
      </w:fldSimple>
    </w:p>
  </w:footnote>
  <w:footnote w:id="6">
    <w:p w:rsidR="009326A7" w:rsidRPr="009326A7" w:rsidRDefault="009326A7">
      <w:pPr>
        <w:pStyle w:val="Textonotapie"/>
      </w:pPr>
      <w:r>
        <w:rPr>
          <w:rStyle w:val="Refdenotaalpie"/>
        </w:rPr>
        <w:footnoteRef/>
      </w:r>
      <w:r w:rsidR="003C00B1">
        <w:fldChar w:fldCharType="begin"/>
      </w:r>
      <w:r>
        <w:instrText xml:space="preserve"> ADDIN ZOTERO_ITEM CSL_CITATION {"citationID":"eiLN16JJ","properties":{"formattedCitation":"{\\rtf Defensor\\uc0\\u237{}a del Pueblo del Ecuador, {\\i{}Soporte te\\uc0\\u243{}rico para introducci\\uc0\\u243{}n a los derechos humanos} (Quito: DPE, 2015), 23.}","plainCitation":"Defensoría del Pueblo del Ecuador, Soporte teórico para introducción a los derechos humanos (Quito: DPE, 2015), 23."},"citationItems":[{"id":638,"uris":["http://zotero.org/users/2489424/items/CWZKQF38"],"uri":["http://zotero.org/users/2489424/items/CWZKQF38"],"itemData":{"id":638,"type":"book","title":"Soporte teórico para introducción a los derechos humanos","publisher":"DPE","publisher-place":"Quito","event-place":"Quito","author":[{"family":"Defensoría del Pueblo del Ecuador","given":""}],"issued":{"date-parts":[["2015"]]}},"locator":"23"}],"schema":"https://github.com/citation-style-language/schema/raw/master/csl-citation.json"} </w:instrText>
      </w:r>
      <w:r w:rsidR="003C00B1">
        <w:fldChar w:fldCharType="separate"/>
      </w:r>
      <w:r w:rsidRPr="009326A7">
        <w:rPr>
          <w:rFonts w:ascii="Calibri" w:eastAsia="Times New Roman" w:cs="Times New Roman"/>
        </w:rPr>
        <w:t xml:space="preserve">Defensoría del Pueblo del Ecuador, </w:t>
      </w:r>
      <w:r w:rsidRPr="009326A7">
        <w:rPr>
          <w:rFonts w:ascii="Calibri" w:eastAsia="Times New Roman" w:cs="Times New Roman"/>
          <w:i/>
          <w:iCs/>
        </w:rPr>
        <w:t>Soporte teórico para introducción a los derechos humanos</w:t>
      </w:r>
      <w:r w:rsidRPr="009326A7">
        <w:rPr>
          <w:rFonts w:ascii="Calibri" w:eastAsia="Times New Roman" w:cs="Times New Roman"/>
        </w:rPr>
        <w:t xml:space="preserve"> (Quito: DPE, 2015), 23.</w:t>
      </w:r>
      <w:r w:rsidR="003C00B1">
        <w:fldChar w:fldCharType="end"/>
      </w:r>
    </w:p>
  </w:footnote>
  <w:footnote w:id="7">
    <w:p w:rsidR="000B1A74" w:rsidRPr="000B1A74" w:rsidRDefault="000B1A74">
      <w:pPr>
        <w:pStyle w:val="Textonotapie"/>
      </w:pPr>
      <w:r>
        <w:rPr>
          <w:rStyle w:val="Refdenotaalpie"/>
        </w:rPr>
        <w:footnoteRef/>
      </w:r>
      <w:r w:rsidR="003C00B1">
        <w:fldChar w:fldCharType="begin"/>
      </w:r>
      <w:r>
        <w:instrText xml:space="preserve"> ADDIN ZOTERO_ITEM CSL_CITATION {"citationID":"FZhJGPuY","properties":{"formattedCitation":"{\\rtf Pedro Nikken, \\uc0\\u171{}metas de la acci\\uc0\\u243{}n del poder p\\uc0\\u250{}blico\\uc0\\u187{}, {\\i{}Revista IIDH} 52 (2010): 56.}","plainCitation":"Pedro Nikken, «metas de la acción del poder público», Revista IIDH 52 (2010): 56."},"citationItems":[{"id":639,"uris":["http://zotero.org/users/2489424/items/W35J4WIS"],"uri":["http://zotero.org/users/2489424/items/W35J4WIS"],"itemData":{"id":639,"type":"article-journal","title":"metas de la acción del poder público","container-title":"Revista IIDH","page":"55-140","volume":"52","author":[{"family":"Nikken","given":"Pedro"}],"issued":{"date-parts":[["2010"]]}},"locator":"56"}],"schema":"https://github.com/citation-style-language/schema/raw/master/csl-citation.json"} </w:instrText>
      </w:r>
      <w:r w:rsidR="003C00B1">
        <w:fldChar w:fldCharType="separate"/>
      </w:r>
      <w:r w:rsidRPr="000B1A74">
        <w:rPr>
          <w:rFonts w:ascii="Calibri" w:eastAsia="Times New Roman" w:cs="Times New Roman"/>
        </w:rPr>
        <w:t xml:space="preserve">Pedro Nikken, «metas de la acción del poder público», </w:t>
      </w:r>
      <w:r w:rsidRPr="000B1A74">
        <w:rPr>
          <w:rFonts w:ascii="Calibri" w:eastAsia="Times New Roman" w:cs="Times New Roman"/>
          <w:i/>
          <w:iCs/>
        </w:rPr>
        <w:t>Revista IIDH</w:t>
      </w:r>
      <w:r w:rsidRPr="000B1A74">
        <w:rPr>
          <w:rFonts w:ascii="Calibri" w:eastAsia="Times New Roman" w:cs="Times New Roman"/>
        </w:rPr>
        <w:t xml:space="preserve"> 52 (2010): 56.</w:t>
      </w:r>
      <w:r w:rsidR="003C00B1">
        <w:fldChar w:fldCharType="end"/>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313935"/>
    <w:rsid w:val="000B1A74"/>
    <w:rsid w:val="000E5060"/>
    <w:rsid w:val="001205ED"/>
    <w:rsid w:val="00204AF5"/>
    <w:rsid w:val="002C1ACF"/>
    <w:rsid w:val="00313935"/>
    <w:rsid w:val="00351B19"/>
    <w:rsid w:val="003C00B1"/>
    <w:rsid w:val="004427D2"/>
    <w:rsid w:val="004A2B76"/>
    <w:rsid w:val="00504511"/>
    <w:rsid w:val="006F0F67"/>
    <w:rsid w:val="009326A7"/>
    <w:rsid w:val="009D6209"/>
    <w:rsid w:val="00A965E8"/>
    <w:rsid w:val="00C04057"/>
    <w:rsid w:val="00D81C13"/>
    <w:rsid w:val="00E83700"/>
    <w:rsid w:val="00F6716D"/>
    <w:rsid w:val="00F854A3"/>
    <w:rsid w:val="00FE2AD9"/>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00B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unhideWhenUsed/>
    <w:rsid w:val="00313935"/>
  </w:style>
  <w:style w:type="character" w:customStyle="1" w:styleId="TextonotapieCar">
    <w:name w:val="Texto nota pie Car"/>
    <w:basedOn w:val="Fuentedeprrafopredeter"/>
    <w:link w:val="Textonotapie"/>
    <w:uiPriority w:val="99"/>
    <w:rsid w:val="00313935"/>
  </w:style>
  <w:style w:type="character" w:styleId="Refdenotaalpie">
    <w:name w:val="footnote reference"/>
    <w:basedOn w:val="Fuentedeprrafopredeter"/>
    <w:uiPriority w:val="99"/>
    <w:unhideWhenUsed/>
    <w:rsid w:val="00313935"/>
    <w:rPr>
      <w:vertAlign w:val="superscript"/>
    </w:rPr>
  </w:style>
  <w:style w:type="character" w:styleId="Hipervnculo">
    <w:name w:val="Hyperlink"/>
    <w:basedOn w:val="Fuentedeprrafopredeter"/>
    <w:uiPriority w:val="99"/>
    <w:unhideWhenUsed/>
    <w:rsid w:val="00FE2AD9"/>
    <w:rPr>
      <w:color w:val="0563C1" w:themeColor="hyperlink"/>
      <w:u w:val="single"/>
    </w:rPr>
  </w:style>
  <w:style w:type="paragraph" w:styleId="NormalWeb">
    <w:name w:val="Normal (Web)"/>
    <w:basedOn w:val="Normal"/>
    <w:uiPriority w:val="99"/>
    <w:semiHidden/>
    <w:unhideWhenUsed/>
    <w:rsid w:val="00504511"/>
    <w:rPr>
      <w:rFonts w:ascii="Times New Roman" w:hAnsi="Times New Roman" w:cs="Times New Roman"/>
    </w:rPr>
  </w:style>
  <w:style w:type="paragraph" w:styleId="Textodeglobo">
    <w:name w:val="Balloon Text"/>
    <w:basedOn w:val="Normal"/>
    <w:link w:val="TextodegloboCar"/>
    <w:uiPriority w:val="99"/>
    <w:semiHidden/>
    <w:unhideWhenUsed/>
    <w:rsid w:val="009D6209"/>
    <w:rPr>
      <w:rFonts w:ascii="Tahoma" w:hAnsi="Tahoma" w:cs="Tahoma"/>
      <w:sz w:val="16"/>
      <w:szCs w:val="16"/>
    </w:rPr>
  </w:style>
  <w:style w:type="character" w:customStyle="1" w:styleId="TextodegloboCar">
    <w:name w:val="Texto de globo Car"/>
    <w:basedOn w:val="Fuentedeprrafopredeter"/>
    <w:link w:val="Textodeglobo"/>
    <w:uiPriority w:val="99"/>
    <w:semiHidden/>
    <w:rsid w:val="009D62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3948790">
      <w:bodyDiv w:val="1"/>
      <w:marLeft w:val="0"/>
      <w:marRight w:val="0"/>
      <w:marTop w:val="0"/>
      <w:marBottom w:val="0"/>
      <w:divBdr>
        <w:top w:val="none" w:sz="0" w:space="0" w:color="auto"/>
        <w:left w:val="none" w:sz="0" w:space="0" w:color="auto"/>
        <w:bottom w:val="none" w:sz="0" w:space="0" w:color="auto"/>
        <w:right w:val="none" w:sz="0" w:space="0" w:color="auto"/>
      </w:divBdr>
    </w:div>
    <w:div w:id="991640728">
      <w:bodyDiv w:val="1"/>
      <w:marLeft w:val="0"/>
      <w:marRight w:val="0"/>
      <w:marTop w:val="0"/>
      <w:marBottom w:val="0"/>
      <w:divBdr>
        <w:top w:val="none" w:sz="0" w:space="0" w:color="auto"/>
        <w:left w:val="none" w:sz="0" w:space="0" w:color="auto"/>
        <w:bottom w:val="none" w:sz="0" w:space="0" w:color="auto"/>
        <w:right w:val="none" w:sz="0" w:space="0" w:color="auto"/>
      </w:divBdr>
    </w:div>
    <w:div w:id="1071467576">
      <w:bodyDiv w:val="1"/>
      <w:marLeft w:val="0"/>
      <w:marRight w:val="0"/>
      <w:marTop w:val="0"/>
      <w:marBottom w:val="0"/>
      <w:divBdr>
        <w:top w:val="none" w:sz="0" w:space="0" w:color="auto"/>
        <w:left w:val="none" w:sz="0" w:space="0" w:color="auto"/>
        <w:bottom w:val="none" w:sz="0" w:space="0" w:color="auto"/>
        <w:right w:val="none" w:sz="0" w:space="0" w:color="auto"/>
      </w:divBdr>
    </w:div>
    <w:div w:id="1598099311">
      <w:bodyDiv w:val="1"/>
      <w:marLeft w:val="0"/>
      <w:marRight w:val="0"/>
      <w:marTop w:val="0"/>
      <w:marBottom w:val="0"/>
      <w:divBdr>
        <w:top w:val="none" w:sz="0" w:space="0" w:color="auto"/>
        <w:left w:val="none" w:sz="0" w:space="0" w:color="auto"/>
        <w:bottom w:val="none" w:sz="0" w:space="0" w:color="auto"/>
        <w:right w:val="none" w:sz="0" w:space="0" w:color="auto"/>
      </w:divBdr>
    </w:div>
    <w:div w:id="20938179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_rels/footnotes.xml.rels><?xml version="1.0" encoding="UTF-8" standalone="yes"?>
<Relationships xmlns="http://schemas.openxmlformats.org/package/2006/relationships"><Relationship Id="rId1" Type="http://schemas.openxmlformats.org/officeDocument/2006/relationships/hyperlink" Target="http://www.dpe.gob.ec"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CF8AE1-5BE2-1545-8945-FB4C51BD10EF}" type="doc">
      <dgm:prSet loTypeId="urn:microsoft.com/office/officeart/2005/8/layout/cycle6" loCatId="" qsTypeId="urn:microsoft.com/office/officeart/2005/8/quickstyle/simple4" qsCatId="simple" csTypeId="urn:microsoft.com/office/officeart/2005/8/colors/colorful4" csCatId="colorful" phldr="1"/>
      <dgm:spPr/>
      <dgm:t>
        <a:bodyPr/>
        <a:lstStyle/>
        <a:p>
          <a:endParaRPr lang="es-ES_tradnl"/>
        </a:p>
      </dgm:t>
    </dgm:pt>
    <dgm:pt modelId="{30A9DB11-61CC-D548-A594-71779EED8B5E}">
      <dgm:prSet phldrT="[Texto]"/>
      <dgm:spPr/>
      <dgm:t>
        <a:bodyPr/>
        <a:lstStyle/>
        <a:p>
          <a:r>
            <a:rPr lang="es-ES_tradnl"/>
            <a:t>Dignidad: es e</a:t>
          </a:r>
          <a:r>
            <a:rPr lang="es-ES" altLang="es-EC" dirty="0" smtClean="0">
              <a:latin typeface="Kefa" charset="0"/>
              <a:ea typeface="Kefa" charset="0"/>
              <a:cs typeface="Kefa" charset="0"/>
            </a:rPr>
            <a:t>l </a:t>
          </a:r>
          <a:r>
            <a:rPr lang="es-ES" altLang="es-EC" dirty="0">
              <a:latin typeface="Kefa" charset="0"/>
              <a:ea typeface="Kefa" charset="0"/>
              <a:cs typeface="Kefa" charset="0"/>
            </a:rPr>
            <a:t>valor inherente que tiene cada persona por su condición de individuo de la especie humana</a:t>
          </a:r>
          <a:endParaRPr lang="es-ES_tradnl"/>
        </a:p>
      </dgm:t>
    </dgm:pt>
    <dgm:pt modelId="{E3DEAA3E-1C45-F54D-A281-2E766973E83C}" type="parTrans" cxnId="{EA464E4B-BA21-FE46-9603-C1B5E6CEED59}">
      <dgm:prSet/>
      <dgm:spPr/>
      <dgm:t>
        <a:bodyPr/>
        <a:lstStyle/>
        <a:p>
          <a:endParaRPr lang="es-ES_tradnl"/>
        </a:p>
      </dgm:t>
    </dgm:pt>
    <dgm:pt modelId="{BF1F9B4F-8D29-EF4D-9171-186CAE9016DC}" type="sibTrans" cxnId="{EA464E4B-BA21-FE46-9603-C1B5E6CEED59}">
      <dgm:prSet/>
      <dgm:spPr/>
      <dgm:t>
        <a:bodyPr/>
        <a:lstStyle/>
        <a:p>
          <a:endParaRPr lang="es-ES_tradnl"/>
        </a:p>
      </dgm:t>
    </dgm:pt>
    <dgm:pt modelId="{70CF851D-1614-EB4A-8504-7E53F809F41A}">
      <dgm:prSet phldrT="[Texto]"/>
      <dgm:spPr/>
      <dgm:t>
        <a:bodyPr/>
        <a:lstStyle/>
        <a:p>
          <a:r>
            <a:rPr lang="es-ES_tradnl"/>
            <a:t>Libertad:  es un a</a:t>
          </a:r>
          <a:r>
            <a:rPr lang="es-ES" altLang="es-ES" dirty="0">
              <a:latin typeface="Kefa" charset="0"/>
              <a:ea typeface="Kefa" charset="0"/>
              <a:cs typeface="Kefa" charset="0"/>
            </a:rPr>
            <a:t>tributo de las personas que permite decidir sobre las opciones y los actos que dan sentido a su existencia</a:t>
          </a:r>
          <a:endParaRPr lang="es-ES_tradnl"/>
        </a:p>
      </dgm:t>
    </dgm:pt>
    <dgm:pt modelId="{839F62F1-F178-2C42-9048-F72C85C9B309}" type="parTrans" cxnId="{D0BAB7F0-7B3E-0042-A939-7171CE452675}">
      <dgm:prSet/>
      <dgm:spPr/>
      <dgm:t>
        <a:bodyPr/>
        <a:lstStyle/>
        <a:p>
          <a:endParaRPr lang="es-ES_tradnl"/>
        </a:p>
      </dgm:t>
    </dgm:pt>
    <dgm:pt modelId="{A9BBD6AB-CB2A-DC43-833A-0FC5D7BAFCB7}" type="sibTrans" cxnId="{D0BAB7F0-7B3E-0042-A939-7171CE452675}">
      <dgm:prSet/>
      <dgm:spPr/>
      <dgm:t>
        <a:bodyPr/>
        <a:lstStyle/>
        <a:p>
          <a:endParaRPr lang="es-ES_tradnl"/>
        </a:p>
      </dgm:t>
    </dgm:pt>
    <dgm:pt modelId="{FBEABA7C-8871-3E49-878F-2743846AB650}">
      <dgm:prSet phldrT="[Texto]"/>
      <dgm:spPr/>
      <dgm:t>
        <a:bodyPr/>
        <a:lstStyle/>
        <a:p>
          <a:r>
            <a:rPr lang="es-ES_tradnl"/>
            <a:t>igualdad:</a:t>
          </a:r>
        </a:p>
      </dgm:t>
    </dgm:pt>
    <dgm:pt modelId="{FD8AAF87-7D4E-DF4D-A0D4-775B48EF3EF2}" type="parTrans" cxnId="{35ACAD73-54F6-964E-9EAF-338CAD586E4A}">
      <dgm:prSet/>
      <dgm:spPr/>
      <dgm:t>
        <a:bodyPr/>
        <a:lstStyle/>
        <a:p>
          <a:endParaRPr lang="es-ES_tradnl"/>
        </a:p>
      </dgm:t>
    </dgm:pt>
    <dgm:pt modelId="{3715E803-E824-4C47-A303-9934E7CA178D}" type="sibTrans" cxnId="{35ACAD73-54F6-964E-9EAF-338CAD586E4A}">
      <dgm:prSet/>
      <dgm:spPr/>
      <dgm:t>
        <a:bodyPr/>
        <a:lstStyle/>
        <a:p>
          <a:endParaRPr lang="es-ES_tradnl"/>
        </a:p>
      </dgm:t>
    </dgm:pt>
    <dgm:pt modelId="{06087D86-8D66-B14F-84FE-D0762019D689}">
      <dgm:prSet/>
      <dgm:spPr/>
      <dgm:t>
        <a:bodyPr/>
        <a:lstStyle/>
        <a:p>
          <a:r>
            <a:rPr lang="es-ES" b="1" dirty="0" smtClean="0">
              <a:latin typeface="Kefa" charset="0"/>
              <a:ea typeface="Kefa" charset="0"/>
              <a:cs typeface="Kefa" charset="0"/>
            </a:rPr>
            <a:t>reconoce l</a:t>
          </a:r>
          <a:r>
            <a:rPr lang="es-ES" dirty="0" smtClean="0">
              <a:latin typeface="Kefa" charset="0"/>
              <a:ea typeface="Kefa" charset="0"/>
              <a:cs typeface="Kefa" charset="0"/>
            </a:rPr>
            <a:t>as </a:t>
          </a:r>
          <a:r>
            <a:rPr lang="es-ES" dirty="0">
              <a:latin typeface="Kefa" charset="0"/>
              <a:ea typeface="Kefa" charset="0"/>
              <a:cs typeface="Kefa" charset="0"/>
            </a:rPr>
            <a:t>diferencias que existen entre los seres humanos.</a:t>
          </a:r>
        </a:p>
      </dgm:t>
    </dgm:pt>
    <dgm:pt modelId="{CAFBABEF-EFDC-6748-9B69-1DFAC05A1944}" type="parTrans" cxnId="{59209938-928A-7342-B373-30E0B68C94E6}">
      <dgm:prSet/>
      <dgm:spPr/>
      <dgm:t>
        <a:bodyPr/>
        <a:lstStyle/>
        <a:p>
          <a:endParaRPr lang="es-ES_tradnl"/>
        </a:p>
      </dgm:t>
    </dgm:pt>
    <dgm:pt modelId="{23022041-84D6-5340-AE9B-E831F1881B0F}" type="sibTrans" cxnId="{59209938-928A-7342-B373-30E0B68C94E6}">
      <dgm:prSet/>
      <dgm:spPr/>
      <dgm:t>
        <a:bodyPr/>
        <a:lstStyle/>
        <a:p>
          <a:endParaRPr lang="es-ES_tradnl"/>
        </a:p>
      </dgm:t>
    </dgm:pt>
    <dgm:pt modelId="{5C89D29B-F5C4-A545-BF0E-1E4AB6BD54B8}" type="pres">
      <dgm:prSet presAssocID="{94CF8AE1-5BE2-1545-8945-FB4C51BD10EF}" presName="cycle" presStyleCnt="0">
        <dgm:presLayoutVars>
          <dgm:dir/>
          <dgm:resizeHandles val="exact"/>
        </dgm:presLayoutVars>
      </dgm:prSet>
      <dgm:spPr/>
      <dgm:t>
        <a:bodyPr/>
        <a:lstStyle/>
        <a:p>
          <a:endParaRPr lang="es-EC"/>
        </a:p>
      </dgm:t>
    </dgm:pt>
    <dgm:pt modelId="{53392695-20CD-954F-B10F-68C69B17E4AD}" type="pres">
      <dgm:prSet presAssocID="{30A9DB11-61CC-D548-A594-71779EED8B5E}" presName="node" presStyleLbl="node1" presStyleIdx="0" presStyleCnt="3">
        <dgm:presLayoutVars>
          <dgm:bulletEnabled val="1"/>
        </dgm:presLayoutVars>
      </dgm:prSet>
      <dgm:spPr/>
      <dgm:t>
        <a:bodyPr/>
        <a:lstStyle/>
        <a:p>
          <a:endParaRPr lang="es-ES_tradnl"/>
        </a:p>
      </dgm:t>
    </dgm:pt>
    <dgm:pt modelId="{CEB42C6E-C30C-6E4E-9618-59717DB5C71D}" type="pres">
      <dgm:prSet presAssocID="{30A9DB11-61CC-D548-A594-71779EED8B5E}" presName="spNode" presStyleCnt="0"/>
      <dgm:spPr/>
    </dgm:pt>
    <dgm:pt modelId="{0250811A-E4C9-2A4B-8B48-EFEB785FCA00}" type="pres">
      <dgm:prSet presAssocID="{BF1F9B4F-8D29-EF4D-9171-186CAE9016DC}" presName="sibTrans" presStyleLbl="sibTrans1D1" presStyleIdx="0" presStyleCnt="3"/>
      <dgm:spPr/>
      <dgm:t>
        <a:bodyPr/>
        <a:lstStyle/>
        <a:p>
          <a:endParaRPr lang="es-EC"/>
        </a:p>
      </dgm:t>
    </dgm:pt>
    <dgm:pt modelId="{3363D5A4-2229-A840-B7FF-614EB7C7A209}" type="pres">
      <dgm:prSet presAssocID="{70CF851D-1614-EB4A-8504-7E53F809F41A}" presName="node" presStyleLbl="node1" presStyleIdx="1" presStyleCnt="3">
        <dgm:presLayoutVars>
          <dgm:bulletEnabled val="1"/>
        </dgm:presLayoutVars>
      </dgm:prSet>
      <dgm:spPr/>
      <dgm:t>
        <a:bodyPr/>
        <a:lstStyle/>
        <a:p>
          <a:endParaRPr lang="es-ES_tradnl"/>
        </a:p>
      </dgm:t>
    </dgm:pt>
    <dgm:pt modelId="{CC5BB6C0-38C4-674B-B05B-7B65A5FCEC19}" type="pres">
      <dgm:prSet presAssocID="{70CF851D-1614-EB4A-8504-7E53F809F41A}" presName="spNode" presStyleCnt="0"/>
      <dgm:spPr/>
    </dgm:pt>
    <dgm:pt modelId="{F694DE3E-253A-E046-B576-D44827C697B9}" type="pres">
      <dgm:prSet presAssocID="{A9BBD6AB-CB2A-DC43-833A-0FC5D7BAFCB7}" presName="sibTrans" presStyleLbl="sibTrans1D1" presStyleIdx="1" presStyleCnt="3"/>
      <dgm:spPr/>
      <dgm:t>
        <a:bodyPr/>
        <a:lstStyle/>
        <a:p>
          <a:endParaRPr lang="es-EC"/>
        </a:p>
      </dgm:t>
    </dgm:pt>
    <dgm:pt modelId="{64D41B3C-41C2-3245-AC68-352A2210C000}" type="pres">
      <dgm:prSet presAssocID="{FBEABA7C-8871-3E49-878F-2743846AB650}" presName="node" presStyleLbl="node1" presStyleIdx="2" presStyleCnt="3">
        <dgm:presLayoutVars>
          <dgm:bulletEnabled val="1"/>
        </dgm:presLayoutVars>
      </dgm:prSet>
      <dgm:spPr/>
      <dgm:t>
        <a:bodyPr/>
        <a:lstStyle/>
        <a:p>
          <a:endParaRPr lang="es-ES_tradnl"/>
        </a:p>
      </dgm:t>
    </dgm:pt>
    <dgm:pt modelId="{D294DDA9-183B-A748-9B75-77632E422A70}" type="pres">
      <dgm:prSet presAssocID="{FBEABA7C-8871-3E49-878F-2743846AB650}" presName="spNode" presStyleCnt="0"/>
      <dgm:spPr/>
    </dgm:pt>
    <dgm:pt modelId="{E6B500F2-E384-A04C-AEE5-CD2539AE5A44}" type="pres">
      <dgm:prSet presAssocID="{3715E803-E824-4C47-A303-9934E7CA178D}" presName="sibTrans" presStyleLbl="sibTrans1D1" presStyleIdx="2" presStyleCnt="3"/>
      <dgm:spPr/>
      <dgm:t>
        <a:bodyPr/>
        <a:lstStyle/>
        <a:p>
          <a:endParaRPr lang="es-EC"/>
        </a:p>
      </dgm:t>
    </dgm:pt>
  </dgm:ptLst>
  <dgm:cxnLst>
    <dgm:cxn modelId="{D7AA136A-2908-42DE-B300-8532E5339089}" type="presOf" srcId="{94CF8AE1-5BE2-1545-8945-FB4C51BD10EF}" destId="{5C89D29B-F5C4-A545-BF0E-1E4AB6BD54B8}" srcOrd="0" destOrd="0" presId="urn:microsoft.com/office/officeart/2005/8/layout/cycle6"/>
    <dgm:cxn modelId="{35ACAD73-54F6-964E-9EAF-338CAD586E4A}" srcId="{94CF8AE1-5BE2-1545-8945-FB4C51BD10EF}" destId="{FBEABA7C-8871-3E49-878F-2743846AB650}" srcOrd="2" destOrd="0" parTransId="{FD8AAF87-7D4E-DF4D-A0D4-775B48EF3EF2}" sibTransId="{3715E803-E824-4C47-A303-9934E7CA178D}"/>
    <dgm:cxn modelId="{D8140FCA-42B6-467A-B0A1-11C4CFE343D3}" type="presOf" srcId="{70CF851D-1614-EB4A-8504-7E53F809F41A}" destId="{3363D5A4-2229-A840-B7FF-614EB7C7A209}" srcOrd="0" destOrd="0" presId="urn:microsoft.com/office/officeart/2005/8/layout/cycle6"/>
    <dgm:cxn modelId="{ECDD05A0-57B5-4487-9A1F-671E72D35BBF}" type="presOf" srcId="{3715E803-E824-4C47-A303-9934E7CA178D}" destId="{E6B500F2-E384-A04C-AEE5-CD2539AE5A44}" srcOrd="0" destOrd="0" presId="urn:microsoft.com/office/officeart/2005/8/layout/cycle6"/>
    <dgm:cxn modelId="{703BE3B9-A406-4793-BCD5-C45D9EDAD908}" type="presOf" srcId="{BF1F9B4F-8D29-EF4D-9171-186CAE9016DC}" destId="{0250811A-E4C9-2A4B-8B48-EFEB785FCA00}" srcOrd="0" destOrd="0" presId="urn:microsoft.com/office/officeart/2005/8/layout/cycle6"/>
    <dgm:cxn modelId="{D0BAB7F0-7B3E-0042-A939-7171CE452675}" srcId="{94CF8AE1-5BE2-1545-8945-FB4C51BD10EF}" destId="{70CF851D-1614-EB4A-8504-7E53F809F41A}" srcOrd="1" destOrd="0" parTransId="{839F62F1-F178-2C42-9048-F72C85C9B309}" sibTransId="{A9BBD6AB-CB2A-DC43-833A-0FC5D7BAFCB7}"/>
    <dgm:cxn modelId="{59209938-928A-7342-B373-30E0B68C94E6}" srcId="{FBEABA7C-8871-3E49-878F-2743846AB650}" destId="{06087D86-8D66-B14F-84FE-D0762019D689}" srcOrd="0" destOrd="0" parTransId="{CAFBABEF-EFDC-6748-9B69-1DFAC05A1944}" sibTransId="{23022041-84D6-5340-AE9B-E831F1881B0F}"/>
    <dgm:cxn modelId="{BA55CC1B-9B3D-4C2F-9D14-622F1EDB4789}" type="presOf" srcId="{FBEABA7C-8871-3E49-878F-2743846AB650}" destId="{64D41B3C-41C2-3245-AC68-352A2210C000}" srcOrd="0" destOrd="0" presId="urn:microsoft.com/office/officeart/2005/8/layout/cycle6"/>
    <dgm:cxn modelId="{45797DE0-7635-4A55-BBA9-C3EBF126321C}" type="presOf" srcId="{30A9DB11-61CC-D548-A594-71779EED8B5E}" destId="{53392695-20CD-954F-B10F-68C69B17E4AD}" srcOrd="0" destOrd="0" presId="urn:microsoft.com/office/officeart/2005/8/layout/cycle6"/>
    <dgm:cxn modelId="{72EC146D-8F12-4321-83C5-813DDE47DD48}" type="presOf" srcId="{06087D86-8D66-B14F-84FE-D0762019D689}" destId="{64D41B3C-41C2-3245-AC68-352A2210C000}" srcOrd="0" destOrd="1" presId="urn:microsoft.com/office/officeart/2005/8/layout/cycle6"/>
    <dgm:cxn modelId="{EA464E4B-BA21-FE46-9603-C1B5E6CEED59}" srcId="{94CF8AE1-5BE2-1545-8945-FB4C51BD10EF}" destId="{30A9DB11-61CC-D548-A594-71779EED8B5E}" srcOrd="0" destOrd="0" parTransId="{E3DEAA3E-1C45-F54D-A281-2E766973E83C}" sibTransId="{BF1F9B4F-8D29-EF4D-9171-186CAE9016DC}"/>
    <dgm:cxn modelId="{A85EB9AE-7DE4-4F8E-9A59-676DBC0E853F}" type="presOf" srcId="{A9BBD6AB-CB2A-DC43-833A-0FC5D7BAFCB7}" destId="{F694DE3E-253A-E046-B576-D44827C697B9}" srcOrd="0" destOrd="0" presId="urn:microsoft.com/office/officeart/2005/8/layout/cycle6"/>
    <dgm:cxn modelId="{BEB50743-20B6-4EDD-B472-19CF817D831E}" type="presParOf" srcId="{5C89D29B-F5C4-A545-BF0E-1E4AB6BD54B8}" destId="{53392695-20CD-954F-B10F-68C69B17E4AD}" srcOrd="0" destOrd="0" presId="urn:microsoft.com/office/officeart/2005/8/layout/cycle6"/>
    <dgm:cxn modelId="{492A6148-285F-4354-B32F-612505F50970}" type="presParOf" srcId="{5C89D29B-F5C4-A545-BF0E-1E4AB6BD54B8}" destId="{CEB42C6E-C30C-6E4E-9618-59717DB5C71D}" srcOrd="1" destOrd="0" presId="urn:microsoft.com/office/officeart/2005/8/layout/cycle6"/>
    <dgm:cxn modelId="{D5D14AA2-5314-43A3-8838-BFBCFB3D6DFC}" type="presParOf" srcId="{5C89D29B-F5C4-A545-BF0E-1E4AB6BD54B8}" destId="{0250811A-E4C9-2A4B-8B48-EFEB785FCA00}" srcOrd="2" destOrd="0" presId="urn:microsoft.com/office/officeart/2005/8/layout/cycle6"/>
    <dgm:cxn modelId="{90C36661-E99C-4DB4-938B-11C413FCC1F2}" type="presParOf" srcId="{5C89D29B-F5C4-A545-BF0E-1E4AB6BD54B8}" destId="{3363D5A4-2229-A840-B7FF-614EB7C7A209}" srcOrd="3" destOrd="0" presId="urn:microsoft.com/office/officeart/2005/8/layout/cycle6"/>
    <dgm:cxn modelId="{4F35EA1A-9859-45D0-BBDC-5CC533722FF7}" type="presParOf" srcId="{5C89D29B-F5C4-A545-BF0E-1E4AB6BD54B8}" destId="{CC5BB6C0-38C4-674B-B05B-7B65A5FCEC19}" srcOrd="4" destOrd="0" presId="urn:microsoft.com/office/officeart/2005/8/layout/cycle6"/>
    <dgm:cxn modelId="{0DC4300D-CED5-4F12-918E-95031EFAEC50}" type="presParOf" srcId="{5C89D29B-F5C4-A545-BF0E-1E4AB6BD54B8}" destId="{F694DE3E-253A-E046-B576-D44827C697B9}" srcOrd="5" destOrd="0" presId="urn:microsoft.com/office/officeart/2005/8/layout/cycle6"/>
    <dgm:cxn modelId="{20DB31A0-0168-49CA-94A5-B439ECE244B4}" type="presParOf" srcId="{5C89D29B-F5C4-A545-BF0E-1E4AB6BD54B8}" destId="{64D41B3C-41C2-3245-AC68-352A2210C000}" srcOrd="6" destOrd="0" presId="urn:microsoft.com/office/officeart/2005/8/layout/cycle6"/>
    <dgm:cxn modelId="{603D49C6-DD41-4B41-82DB-8607234A8299}" type="presParOf" srcId="{5C89D29B-F5C4-A545-BF0E-1E4AB6BD54B8}" destId="{D294DDA9-183B-A748-9B75-77632E422A70}" srcOrd="7" destOrd="0" presId="urn:microsoft.com/office/officeart/2005/8/layout/cycle6"/>
    <dgm:cxn modelId="{12F4A216-37A5-4953-9D99-53F7E9126D0D}" type="presParOf" srcId="{5C89D29B-F5C4-A545-BF0E-1E4AB6BD54B8}" destId="{E6B500F2-E384-A04C-AEE5-CD2539AE5A44}" srcOrd="8" destOrd="0" presId="urn:microsoft.com/office/officeart/2005/8/layout/cycle6"/>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392695-20CD-954F-B10F-68C69B17E4AD}">
      <dsp:nvSpPr>
        <dsp:cNvPr id="0" name=""/>
        <dsp:cNvSpPr/>
      </dsp:nvSpPr>
      <dsp:spPr>
        <a:xfrm>
          <a:off x="1976158" y="1064"/>
          <a:ext cx="1443913" cy="938543"/>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_tradnl" sz="900" kern="1200"/>
            <a:t>Dignidad: es e</a:t>
          </a:r>
          <a:r>
            <a:rPr lang="es-ES" altLang="es-EC" sz="900" kern="1200" dirty="0" smtClean="0">
              <a:latin typeface="Kefa" charset="0"/>
              <a:ea typeface="Kefa" charset="0"/>
              <a:cs typeface="Kefa" charset="0"/>
            </a:rPr>
            <a:t>l </a:t>
          </a:r>
          <a:r>
            <a:rPr lang="es-ES" altLang="es-EC" sz="900" kern="1200" dirty="0">
              <a:latin typeface="Kefa" charset="0"/>
              <a:ea typeface="Kefa" charset="0"/>
              <a:cs typeface="Kefa" charset="0"/>
            </a:rPr>
            <a:t>valor inherente que tiene cada persona por su condición de individuo de la especie humana</a:t>
          </a:r>
          <a:endParaRPr lang="es-ES_tradnl" sz="900" kern="1200"/>
        </a:p>
      </dsp:txBody>
      <dsp:txXfrm>
        <a:off x="2021974" y="46880"/>
        <a:ext cx="1352281" cy="846911"/>
      </dsp:txXfrm>
    </dsp:sp>
    <dsp:sp modelId="{0250811A-E4C9-2A4B-8B48-EFEB785FCA00}">
      <dsp:nvSpPr>
        <dsp:cNvPr id="0" name=""/>
        <dsp:cNvSpPr/>
      </dsp:nvSpPr>
      <dsp:spPr>
        <a:xfrm>
          <a:off x="1446602" y="470336"/>
          <a:ext cx="2503024" cy="2503024"/>
        </a:xfrm>
        <a:custGeom>
          <a:avLst/>
          <a:gdLst/>
          <a:ahLst/>
          <a:cxnLst/>
          <a:rect l="0" t="0" r="0" b="0"/>
          <a:pathLst>
            <a:path>
              <a:moveTo>
                <a:pt x="1983953" y="236715"/>
              </a:moveTo>
              <a:arcTo wR="1251512" hR="1251512" stAng="18349217" swAng="3646367"/>
            </a:path>
          </a:pathLst>
        </a:custGeom>
        <a:noFill/>
        <a:ln w="6350" cap="flat" cmpd="sng" algn="ctr">
          <a:solidFill>
            <a:schemeClr val="accent4">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3363D5A4-2229-A840-B7FF-614EB7C7A209}">
      <dsp:nvSpPr>
        <dsp:cNvPr id="0" name=""/>
        <dsp:cNvSpPr/>
      </dsp:nvSpPr>
      <dsp:spPr>
        <a:xfrm>
          <a:off x="3060000" y="1878333"/>
          <a:ext cx="1443913" cy="938543"/>
        </a:xfrm>
        <a:prstGeom prst="roundRect">
          <a:avLst/>
        </a:prstGeom>
        <a:gradFill rotWithShape="0">
          <a:gsLst>
            <a:gs pos="0">
              <a:schemeClr val="accent4">
                <a:hueOff val="4900445"/>
                <a:satOff val="-20388"/>
                <a:lumOff val="4804"/>
                <a:alphaOff val="0"/>
                <a:satMod val="103000"/>
                <a:lumMod val="102000"/>
                <a:tint val="94000"/>
              </a:schemeClr>
            </a:gs>
            <a:gs pos="50000">
              <a:schemeClr val="accent4">
                <a:hueOff val="4900445"/>
                <a:satOff val="-20388"/>
                <a:lumOff val="4804"/>
                <a:alphaOff val="0"/>
                <a:satMod val="110000"/>
                <a:lumMod val="100000"/>
                <a:shade val="100000"/>
              </a:schemeClr>
            </a:gs>
            <a:gs pos="100000">
              <a:schemeClr val="accent4">
                <a:hueOff val="4900445"/>
                <a:satOff val="-20388"/>
                <a:lumOff val="4804"/>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ES_tradnl" sz="900" kern="1200"/>
            <a:t>Libertad:  es un a</a:t>
          </a:r>
          <a:r>
            <a:rPr lang="es-ES" altLang="es-ES" sz="900" kern="1200" dirty="0">
              <a:latin typeface="Kefa" charset="0"/>
              <a:ea typeface="Kefa" charset="0"/>
              <a:cs typeface="Kefa" charset="0"/>
            </a:rPr>
            <a:t>tributo de las personas que permite decidir sobre las opciones y los actos que dan sentido a su existencia</a:t>
          </a:r>
          <a:endParaRPr lang="es-ES_tradnl" sz="900" kern="1200"/>
        </a:p>
      </dsp:txBody>
      <dsp:txXfrm>
        <a:off x="3105816" y="1924149"/>
        <a:ext cx="1352281" cy="846911"/>
      </dsp:txXfrm>
    </dsp:sp>
    <dsp:sp modelId="{F694DE3E-253A-E046-B576-D44827C697B9}">
      <dsp:nvSpPr>
        <dsp:cNvPr id="0" name=""/>
        <dsp:cNvSpPr/>
      </dsp:nvSpPr>
      <dsp:spPr>
        <a:xfrm>
          <a:off x="1446602" y="470336"/>
          <a:ext cx="2503024" cy="2503024"/>
        </a:xfrm>
        <a:custGeom>
          <a:avLst/>
          <a:gdLst/>
          <a:ahLst/>
          <a:cxnLst/>
          <a:rect l="0" t="0" r="0" b="0"/>
          <a:pathLst>
            <a:path>
              <a:moveTo>
                <a:pt x="1846848" y="2352357"/>
              </a:moveTo>
              <a:arcTo wR="1251512" hR="1251512" stAng="3695731" swAng="3408538"/>
            </a:path>
          </a:pathLst>
        </a:custGeom>
        <a:noFill/>
        <a:ln w="6350" cap="flat" cmpd="sng" algn="ctr">
          <a:solidFill>
            <a:schemeClr val="accent4">
              <a:hueOff val="4900445"/>
              <a:satOff val="-20388"/>
              <a:lumOff val="4804"/>
              <a:alphaOff val="0"/>
            </a:schemeClr>
          </a:solidFill>
          <a:prstDash val="solid"/>
          <a:miter lim="800000"/>
        </a:ln>
        <a:effectLst/>
      </dsp:spPr>
      <dsp:style>
        <a:lnRef idx="1">
          <a:scrgbClr r="0" g="0" b="0"/>
        </a:lnRef>
        <a:fillRef idx="0">
          <a:scrgbClr r="0" g="0" b="0"/>
        </a:fillRef>
        <a:effectRef idx="0">
          <a:scrgbClr r="0" g="0" b="0"/>
        </a:effectRef>
        <a:fontRef idx="minor"/>
      </dsp:style>
    </dsp:sp>
    <dsp:sp modelId="{64D41B3C-41C2-3245-AC68-352A2210C000}">
      <dsp:nvSpPr>
        <dsp:cNvPr id="0" name=""/>
        <dsp:cNvSpPr/>
      </dsp:nvSpPr>
      <dsp:spPr>
        <a:xfrm>
          <a:off x="892316" y="1878333"/>
          <a:ext cx="1443913" cy="938543"/>
        </a:xfrm>
        <a:prstGeom prst="roundRect">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34290" tIns="34290" rIns="34290" bIns="34290" numCol="1" spcCol="1270" anchor="t" anchorCtr="0">
          <a:noAutofit/>
        </a:bodyPr>
        <a:lstStyle/>
        <a:p>
          <a:pPr lvl="0" algn="l" defTabSz="400050">
            <a:lnSpc>
              <a:spcPct val="90000"/>
            </a:lnSpc>
            <a:spcBef>
              <a:spcPct val="0"/>
            </a:spcBef>
            <a:spcAft>
              <a:spcPct val="35000"/>
            </a:spcAft>
          </a:pPr>
          <a:r>
            <a:rPr lang="es-ES_tradnl" sz="900" kern="1200"/>
            <a:t>igualdad:</a:t>
          </a:r>
        </a:p>
        <a:p>
          <a:pPr marL="57150" lvl="1" indent="-57150" algn="l" defTabSz="311150">
            <a:lnSpc>
              <a:spcPct val="90000"/>
            </a:lnSpc>
            <a:spcBef>
              <a:spcPct val="0"/>
            </a:spcBef>
            <a:spcAft>
              <a:spcPct val="15000"/>
            </a:spcAft>
            <a:buChar char="•"/>
          </a:pPr>
          <a:r>
            <a:rPr lang="es-ES" sz="700" b="1" kern="1200" dirty="0" smtClean="0">
              <a:latin typeface="Kefa" charset="0"/>
              <a:ea typeface="Kefa" charset="0"/>
              <a:cs typeface="Kefa" charset="0"/>
            </a:rPr>
            <a:t>reconoce l</a:t>
          </a:r>
          <a:r>
            <a:rPr lang="es-ES" sz="700" kern="1200" dirty="0" smtClean="0">
              <a:latin typeface="Kefa" charset="0"/>
              <a:ea typeface="Kefa" charset="0"/>
              <a:cs typeface="Kefa" charset="0"/>
            </a:rPr>
            <a:t>as </a:t>
          </a:r>
          <a:r>
            <a:rPr lang="es-ES" sz="700" kern="1200" dirty="0">
              <a:latin typeface="Kefa" charset="0"/>
              <a:ea typeface="Kefa" charset="0"/>
              <a:cs typeface="Kefa" charset="0"/>
            </a:rPr>
            <a:t>diferencias que existen entre los seres humanos.</a:t>
          </a:r>
        </a:p>
      </dsp:txBody>
      <dsp:txXfrm>
        <a:off x="938132" y="1924149"/>
        <a:ext cx="1352281" cy="846911"/>
      </dsp:txXfrm>
    </dsp:sp>
    <dsp:sp modelId="{E6B500F2-E384-A04C-AEE5-CD2539AE5A44}">
      <dsp:nvSpPr>
        <dsp:cNvPr id="0" name=""/>
        <dsp:cNvSpPr/>
      </dsp:nvSpPr>
      <dsp:spPr>
        <a:xfrm>
          <a:off x="1446602" y="470336"/>
          <a:ext cx="2503024" cy="2503024"/>
        </a:xfrm>
        <a:custGeom>
          <a:avLst/>
          <a:gdLst/>
          <a:ahLst/>
          <a:cxnLst/>
          <a:rect l="0" t="0" r="0" b="0"/>
          <a:pathLst>
            <a:path>
              <a:moveTo>
                <a:pt x="8276" y="1395207"/>
              </a:moveTo>
              <a:arcTo wR="1251512" hR="1251512" stAng="10404416" swAng="3646367"/>
            </a:path>
          </a:pathLst>
        </a:custGeom>
        <a:noFill/>
        <a:ln w="6350" cap="flat" cmpd="sng" algn="ctr">
          <a:solidFill>
            <a:schemeClr val="accent4">
              <a:hueOff val="9800891"/>
              <a:satOff val="-40777"/>
              <a:lumOff val="9608"/>
              <a:alphaOff val="0"/>
            </a:schemeClr>
          </a:solidFill>
          <a:prstDash val="solid"/>
          <a:miter lim="800000"/>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7EA3A6C-7C2D-2D42-8296-E44085C4A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627</Words>
  <Characters>3454</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moniKa Asiri</cp:lastModifiedBy>
  <cp:revision>2</cp:revision>
  <dcterms:created xsi:type="dcterms:W3CDTF">2017-11-30T21:59:00Z</dcterms:created>
  <dcterms:modified xsi:type="dcterms:W3CDTF">2017-11-30T21:59:00Z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zotero-version="4.0.29.15"&gt;&lt;session id="mF5iGWG5"/&gt;&lt;style id="http://www.zotero.org/styles/chicago-fullnote-bibliography" locale="es-ES" hasBibliography="1" bibliographyStyleHasBeenSet="0"/&gt;&lt;prefs&gt;&lt;pref name="fieldType" value="Field</vt:lpwstr>
  </property>
  <property fmtid="{D5CDD505-2E9C-101B-9397-08002B2CF9AE}" pid="3" name="ZOTERO_PREF_2">
    <vt:lpwstr>"/&gt;&lt;pref name="storeReferences" value="true"/&gt;&lt;pref name="automaticJournalAbbreviations" value="true"/&gt;&lt;pref name="noteType" value="1"/&gt;&lt;/prefs&gt;&lt;/data&gt;</vt:lpwstr>
  </property>
</Properties>
</file>