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B47" w:rsidRPr="00347F07" w:rsidRDefault="00347F07" w:rsidP="00347F07">
      <w:pPr>
        <w:jc w:val="center"/>
        <w:rPr>
          <w:rFonts w:ascii="Times New Roman" w:hAnsi="Times New Roman" w:cs="Times New Roman"/>
          <w:b/>
          <w:sz w:val="28"/>
          <w:szCs w:val="28"/>
        </w:rPr>
      </w:pPr>
      <w:r w:rsidRPr="00347F07">
        <w:rPr>
          <w:rFonts w:ascii="Times New Roman" w:hAnsi="Times New Roman" w:cs="Times New Roman"/>
          <w:b/>
          <w:sz w:val="28"/>
          <w:szCs w:val="28"/>
        </w:rPr>
        <w:t>Las obligaciones del Estado en materia de derechos humanos</w:t>
      </w:r>
    </w:p>
    <w:p w:rsidR="00347F07" w:rsidRPr="00347F07" w:rsidRDefault="00347F07" w:rsidP="00347F07">
      <w:pPr>
        <w:jc w:val="both"/>
        <w:rPr>
          <w:rFonts w:ascii="Times New Roman" w:hAnsi="Times New Roman" w:cs="Times New Roman"/>
        </w:rPr>
      </w:pPr>
    </w:p>
    <w:p w:rsidR="00347F07" w:rsidRPr="00347F07" w:rsidRDefault="00347F07" w:rsidP="00347F07">
      <w:pPr>
        <w:jc w:val="both"/>
        <w:rPr>
          <w:rFonts w:ascii="Times New Roman" w:hAnsi="Times New Roman" w:cs="Times New Roman"/>
        </w:rPr>
      </w:pPr>
      <w:r>
        <w:rPr>
          <w:rFonts w:ascii="Times New Roman" w:hAnsi="Times New Roman" w:cs="Times New Roman"/>
        </w:rPr>
        <w:t>En materia de derechos humanos, los Estados se comprometen a respetar y garantizar los derechos humanos de aquellas personas sometidas a su jurisdicción. Estas obligaciones se las debe llevar a cabo sin discriminación alguna. En las páginas siguientes se desarrolla cada una de ellas. Este texto es un extracto de “</w:t>
      </w:r>
      <w:r w:rsidRPr="00347F07">
        <w:rPr>
          <w:rFonts w:ascii="Times New Roman" w:hAnsi="Times New Roman" w:cs="Times New Roman"/>
        </w:rPr>
        <w:t>Estándares internacionales para la administración de justicia. Análisis del caso conocido como Fybeca” de M.H. Carbonell.</w:t>
      </w:r>
      <w:r>
        <w:rPr>
          <w:rStyle w:val="Refdenotaalpie"/>
          <w:rFonts w:ascii="Times New Roman" w:hAnsi="Times New Roman" w:cs="Times New Roman"/>
        </w:rPr>
        <w:footnoteReference w:id="2"/>
      </w:r>
    </w:p>
    <w:p w:rsidR="00347F07" w:rsidRPr="00347F07" w:rsidRDefault="00347F07" w:rsidP="00347F07">
      <w:pPr>
        <w:jc w:val="both"/>
        <w:rPr>
          <w:rFonts w:ascii="Times New Roman" w:hAnsi="Times New Roman" w:cs="Times New Roman"/>
        </w:rPr>
      </w:pPr>
    </w:p>
    <w:p w:rsidR="009F2B47" w:rsidRPr="00347F07" w:rsidRDefault="009F2B47" w:rsidP="00347F07">
      <w:pPr>
        <w:jc w:val="both"/>
        <w:rPr>
          <w:rFonts w:ascii="Times New Roman" w:hAnsi="Times New Roman" w:cs="Times New Roman"/>
        </w:rPr>
      </w:pPr>
    </w:p>
    <w:p w:rsidR="009F2B47" w:rsidRPr="00347F07" w:rsidRDefault="009F2B47" w:rsidP="00347F07">
      <w:pPr>
        <w:pStyle w:val="Prrafodelista"/>
        <w:numPr>
          <w:ilvl w:val="0"/>
          <w:numId w:val="1"/>
        </w:numPr>
        <w:spacing w:line="240" w:lineRule="auto"/>
        <w:rPr>
          <w:rFonts w:cs="Times New Roman"/>
          <w:b/>
          <w:lang w:val="es-ES_tradnl"/>
        </w:rPr>
      </w:pPr>
      <w:r w:rsidRPr="00347F07">
        <w:rPr>
          <w:rFonts w:cs="Times New Roman"/>
          <w:b/>
          <w:lang w:val="es-ES_tradnl"/>
        </w:rPr>
        <w:t>Deber de respeto</w:t>
      </w:r>
    </w:p>
    <w:p w:rsidR="009F2B47" w:rsidRPr="00347F07" w:rsidRDefault="009F2B47" w:rsidP="00347F07">
      <w:pPr>
        <w:jc w:val="both"/>
        <w:rPr>
          <w:rFonts w:ascii="Times New Roman" w:hAnsi="Times New Roman" w:cs="Times New Roman"/>
        </w:rPr>
      </w:pPr>
    </w:p>
    <w:p w:rsidR="009F2B47" w:rsidRPr="00347F07" w:rsidRDefault="009F2B47" w:rsidP="00347F07">
      <w:pPr>
        <w:ind w:right="85"/>
        <w:jc w:val="both"/>
        <w:rPr>
          <w:rFonts w:ascii="Times New Roman" w:hAnsi="Times New Roman" w:cs="Times New Roman"/>
        </w:rPr>
      </w:pPr>
      <w:r w:rsidRPr="00347F07">
        <w:rPr>
          <w:rFonts w:ascii="Times New Roman" w:hAnsi="Times New Roman" w:cs="Times New Roman"/>
        </w:rPr>
        <w:t xml:space="preserve">La principal obligación común a todos los derechos humanos es la de respeto. La razón de ser de ésta gira entorno a los límites del poder público; en este sentido, el Estado debe abstenerse de sobrepasar los límites que le imponen los derechos humanos. </w:t>
      </w:r>
      <w:r w:rsidR="00C3330D" w:rsidRPr="00347F07">
        <w:rPr>
          <w:rFonts w:ascii="Times New Roman" w:hAnsi="Times New Roman" w:cs="Times New Roman"/>
        </w:rPr>
        <w:fldChar w:fldCharType="begin"/>
      </w:r>
      <w:r w:rsidR="00347F07">
        <w:rPr>
          <w:rFonts w:ascii="Times New Roman" w:hAnsi="Times New Roman" w:cs="Times New Roman"/>
        </w:rPr>
        <w:instrText xml:space="preserve"> ADDIN ZOTERO_ITEM CSL_CITATION {"citationID":"JZw5KKmR","properties":{"formattedCitation":"{\\rtf Tara Melish, {\\i{}Protecting Economic, Social and Cultural Rights in the Inter-American Human Rights System: A Manual on Presenting Claims} (Ecuador: CDES, 2002), 159.}","plainCitation":"Tara Melish, Protecting Economic, Social and Cultural Rights in the Inter-American Human Rights System: A Manual on Presenting Claims (Ecuador: CDES, 2002), 159."},"citationItems":[{"id":58,"uris":["http://zotero.org/users/2489424/items/AEHZBGVE"],"uri":["http://zotero.org/users/2489424/items/AEHZBGVE"],"itemData":{"id":58,"type":"book","title":"Protecting Economic, Social and Cultural Rights in the Inter-American Human Rights System: A Manual on Presenting Claims","publisher":"CDES","publisher-place":"Ecuador","event-place":"Ecuador","author":[{"family":"Melish","given":"Tara"}],"issued":{"date-parts":[["2002"]]}},"locator":"159"}],"schema":"https://github.com/citation-style-language/schema/raw/master/csl-citation.json"} </w:instrText>
      </w:r>
      <w:r w:rsidR="00C3330D" w:rsidRPr="00347F07">
        <w:rPr>
          <w:rFonts w:ascii="Times New Roman" w:hAnsi="Times New Roman" w:cs="Times New Roman"/>
        </w:rPr>
        <w:fldChar w:fldCharType="separate"/>
      </w:r>
      <w:r w:rsidR="00347F07" w:rsidRPr="00347F07">
        <w:rPr>
          <w:rFonts w:ascii="Times New Roman" w:eastAsia="Times New Roman" w:hAnsi="Times New Roman" w:cs="Times New Roman"/>
          <w:lang w:val="en-US"/>
        </w:rPr>
        <w:t xml:space="preserve">Tara Melish, </w:t>
      </w:r>
      <w:r w:rsidR="00347F07" w:rsidRPr="00347F07">
        <w:rPr>
          <w:rFonts w:ascii="Times New Roman" w:eastAsia="Times New Roman" w:hAnsi="Times New Roman" w:cs="Times New Roman"/>
          <w:i/>
          <w:iCs/>
          <w:lang w:val="en-US"/>
        </w:rPr>
        <w:t>Protecting Economic, Social and Cultural Rights in the Inter-American Human Rights System: A Manual on Presenting Claims</w:t>
      </w:r>
      <w:r w:rsidR="00347F07" w:rsidRPr="00347F07">
        <w:rPr>
          <w:rFonts w:ascii="Times New Roman" w:eastAsia="Times New Roman" w:hAnsi="Times New Roman" w:cs="Times New Roman"/>
          <w:lang w:val="en-US"/>
        </w:rPr>
        <w:t xml:space="preserve"> (Ecuador: CDES, 2002), 159.</w:t>
      </w:r>
      <w:r w:rsidR="00C3330D" w:rsidRPr="00347F07">
        <w:rPr>
          <w:rFonts w:ascii="Times New Roman" w:hAnsi="Times New Roman" w:cs="Times New Roman"/>
        </w:rPr>
        <w:fldChar w:fldCharType="end"/>
      </w:r>
      <w:r w:rsidRPr="00347F07">
        <w:rPr>
          <w:rFonts w:ascii="Times New Roman" w:hAnsi="Times New Roman" w:cs="Times New Roman"/>
        </w:rPr>
        <w:t xml:space="preserve">La Corte IDH ha señalado en repetidas ocasiones que la protección de los derechos humanos se fundamenta en el reconocimiento de atributos inherentes a la persona “que no pueden ser legítimamente menoscabados por el ejercicio del poder público” </w:t>
      </w:r>
      <w:r w:rsidR="00C3330D" w:rsidRPr="00347F07">
        <w:rPr>
          <w:rFonts w:ascii="Times New Roman" w:hAnsi="Times New Roman" w:cs="Times New Roman"/>
        </w:rPr>
        <w:fldChar w:fldCharType="begin"/>
      </w:r>
      <w:r w:rsidR="00347F07">
        <w:rPr>
          <w:rFonts w:ascii="Times New Roman" w:hAnsi="Times New Roman" w:cs="Times New Roman"/>
        </w:rPr>
        <w:instrText xml:space="preserve"> ADDIN ZOTERO_ITEM CSL_CITATION {"citationID":"q2o4rUmF","properties":{"unsorted":true,"formattedCitation":"(Corte IDH, 1986, p. 21, 2003b, p. 73)","plainCitation":"(Corte IDH, 1986, p. 21, 2003b, p. 73)","dontUpdate":true},"citationItems":[{"id":75,"uris":["http://zotero.org/users/2489424/items/52DKR5RM"],"uri":["http://zotero.org/users/2489424/items/52DKR5RM"],"itemData":{"id":75,"type":"legal_case","title":"La Expresión \"Leyes\" en el Artículo 30 de la Convención Americana sobre Derechos Humanos. Opinión Consultiva OC-6/86","author":[{"family":"Corte IDH","given":""}],"issued":{"date-parts":[["1986",5,9]]}},"locator":"21"},{"id":74,"uris":["http://zotero.org/users/2489424/items/M6E7RDMQ"],"uri":["http://zotero.org/users/2489424/items/M6E7RDMQ"],"itemData":{"id":74,"type":"legal_case","title":"Condición Jurídica y Derechos de los Migrantes Indocumentados. Opinión Consultiva OC-18/03","author":[{"family":"Corte IDH","given":""}],"issued":{"date-parts":[["2003",9,17]]}},"locator":"73"}],"schema":"https://github.com/citation-style-language/schema/raw/master/csl-citation.json"} </w:instrText>
      </w:r>
      <w:r w:rsidR="00C3330D" w:rsidRPr="00347F07">
        <w:rPr>
          <w:rFonts w:ascii="Times New Roman" w:hAnsi="Times New Roman" w:cs="Times New Roman"/>
        </w:rPr>
        <w:fldChar w:fldCharType="separate"/>
      </w:r>
      <w:r w:rsidRPr="00347F07">
        <w:rPr>
          <w:rFonts w:ascii="Times New Roman" w:hAnsi="Times New Roman" w:cs="Times New Roman"/>
          <w:noProof/>
        </w:rPr>
        <w:t>(Corte IDH, 1986, párr. 21; 2003b, párr. 73)</w:t>
      </w:r>
      <w:r w:rsidR="00C3330D" w:rsidRPr="00347F07">
        <w:rPr>
          <w:rFonts w:ascii="Times New Roman" w:hAnsi="Times New Roman" w:cs="Times New Roman"/>
        </w:rPr>
        <w:fldChar w:fldCharType="end"/>
      </w:r>
      <w:r w:rsidRPr="00347F07">
        <w:rPr>
          <w:rFonts w:ascii="Times New Roman" w:hAnsi="Times New Roman" w:cs="Times New Roman"/>
        </w:rPr>
        <w:t xml:space="preserve">. La Corte reafirma la idea central de que los derechos humanos son un límite para el ejercicio del poder público: imponiéndole un freno a su actuación. Gialdino desarrolla este concepto a través de la noción de contención del poder público frente a valores mínimos. En sus palabras, “los Estados deben abstenerse de violar los derechos reconocidos, de producir impedimentos o dificultades en el acceso de las personas a estos últimos, al tiempo que toda restricción que regulen debe ser permisible de conformidad con las disposición del tratado.” </w:t>
      </w:r>
      <w:r w:rsidR="00C3330D" w:rsidRPr="00347F07">
        <w:rPr>
          <w:rFonts w:ascii="Times New Roman" w:hAnsi="Times New Roman" w:cs="Times New Roman"/>
        </w:rPr>
        <w:fldChar w:fldCharType="begin"/>
      </w:r>
      <w:r w:rsidR="00347F07">
        <w:rPr>
          <w:rFonts w:ascii="Times New Roman" w:hAnsi="Times New Roman" w:cs="Times New Roman"/>
        </w:rPr>
        <w:instrText xml:space="preserve"> ADDIN ZOTERO_ITEM CSL_CITATION {"citationID":"QOmOdrzF","properties":{"formattedCitation":"{\\rtf Ronaldo Gialdino, {\\i{}Derecho internacional de los derechos humanos: principios, fuentes, interpretaci\\uc0\\u243{}n y obligaciones} (Buenos Aires: Abeledo Perrot, 2013), 501.}","plainCitation":"Ronaldo Gialdino, Derecho internacional de los derechos humanos: principios, fuentes, interpretación y obligaciones (Buenos Aires: Abeledo Perrot, 2013), 501."},"citationItems":[{"id":76,"uris":["http://zotero.org/users/2489424/items/IE485IQH"],"uri":["http://zotero.org/users/2489424/items/IE485IQH"],"itemData":{"id":76,"type":"book","title":"Derecho internacional de los derechos humanos: principios, fuentes, interpretación y obligaciones","publisher":"Abeledo Perrot","publisher-place":"Buenos Aires","event-place":"Buenos Aires","author":[{"family":"Gialdino","given":"Ronaldo"}],"issued":{"date-parts":[["2013"]]}},"locator":"501"}],"schema":"https://github.com/citation-style-language/schema/raw/master/csl-citation.json"} </w:instrText>
      </w:r>
      <w:r w:rsidR="00C3330D" w:rsidRPr="00347F07">
        <w:rPr>
          <w:rFonts w:ascii="Times New Roman" w:hAnsi="Times New Roman" w:cs="Times New Roman"/>
        </w:rPr>
        <w:fldChar w:fldCharType="separate"/>
      </w:r>
      <w:r w:rsidR="00347F07" w:rsidRPr="00347F07">
        <w:rPr>
          <w:rFonts w:ascii="Times New Roman" w:eastAsia="Times New Roman" w:hAnsi="Times New Roman" w:cs="Times New Roman"/>
        </w:rPr>
        <w:t xml:space="preserve">Ronaldo Gialdino, </w:t>
      </w:r>
      <w:r w:rsidR="00347F07" w:rsidRPr="00347F07">
        <w:rPr>
          <w:rFonts w:ascii="Times New Roman" w:eastAsia="Times New Roman" w:hAnsi="Times New Roman" w:cs="Times New Roman"/>
          <w:i/>
          <w:iCs/>
        </w:rPr>
        <w:t>Derecho internacional de los derechos humanos: principios, fuentes, interpretación y obligaciones</w:t>
      </w:r>
      <w:r w:rsidR="00347F07" w:rsidRPr="00347F07">
        <w:rPr>
          <w:rFonts w:ascii="Times New Roman" w:eastAsia="Times New Roman" w:hAnsi="Times New Roman" w:cs="Times New Roman"/>
        </w:rPr>
        <w:t xml:space="preserve"> (Buenos Aires: Abeledo Perrot, 2013), 501.</w:t>
      </w:r>
      <w:r w:rsidR="00C3330D" w:rsidRPr="00347F07">
        <w:rPr>
          <w:rFonts w:ascii="Times New Roman" w:hAnsi="Times New Roman" w:cs="Times New Roman"/>
        </w:rPr>
        <w:fldChar w:fldCharType="end"/>
      </w:r>
      <w:r w:rsidRPr="00347F07">
        <w:rPr>
          <w:rFonts w:ascii="Times New Roman" w:hAnsi="Times New Roman" w:cs="Times New Roman"/>
        </w:rPr>
        <w:t xml:space="preserve"> Será ilícita toda forma de poder público que viole los derechos humanos. “En tal sentido, en toda circunstancia en la cual un órgano o funcionario del Estado o de una institución de carácter público lesione indebidamente uno de tales derechos, se está ante un supuesto de inobservancia del deber de respeto consagrado en ese artículo.” </w:t>
      </w:r>
      <w:r w:rsidR="00C3330D" w:rsidRPr="00347F07">
        <w:rPr>
          <w:rFonts w:ascii="Times New Roman" w:hAnsi="Times New Roman" w:cs="Times New Roman"/>
        </w:rPr>
        <w:fldChar w:fldCharType="begin"/>
      </w:r>
      <w:r w:rsidR="00347F07">
        <w:rPr>
          <w:rFonts w:ascii="Times New Roman" w:hAnsi="Times New Roman" w:cs="Times New Roman"/>
        </w:rPr>
        <w:instrText xml:space="preserve"> ADDIN ZOTERO_ITEM CSL_CITATION {"citationID":"yQg8oPkD","properties":{"formattedCitation":"{\\rtf Corte IDH, Caso \\uc0\\u171{}Cinco pensionistas\\uc0\\u187{}. Fondo, reparaciones y costas (28 de febrero de 2003).}","plainCitation":"Corte IDH, Caso «Cinco pensionistas». Fondo, reparaciones y costas (28 de febrero de 2003)."},"citationItems":[{"id":66,"uris":["http://zotero.org/users/2489424/items/KH86X57J"],"uri":["http://zotero.org/users/2489424/items/KH86X57J"],"itemData":{"id":66,"type":"legal_case","title":"Caso \"Cinco pensionistas\". Fondo, reparaciones y costas","author":[{"family":"Corte IDH","given":""}],"issued":{"date-parts":[["2003",2,28]]}},"locator":"163"}],"schema":"https://github.com/citation-style-language/schema/raw/master/csl-citation.json"} </w:instrText>
      </w:r>
      <w:r w:rsidR="00C3330D" w:rsidRPr="00347F07">
        <w:rPr>
          <w:rFonts w:ascii="Times New Roman" w:hAnsi="Times New Roman" w:cs="Times New Roman"/>
        </w:rPr>
        <w:fldChar w:fldCharType="separate"/>
      </w:r>
      <w:r w:rsidR="00347F07" w:rsidRPr="00347F07">
        <w:rPr>
          <w:rFonts w:ascii="Times New Roman" w:eastAsia="Times New Roman" w:hAnsi="Times New Roman" w:cs="Times New Roman"/>
        </w:rPr>
        <w:t>Corte IDH, Caso «Cinco pensionistas». Fondo, reparaciones y costas (28 de febrero de 2003).</w:t>
      </w:r>
      <w:r w:rsidR="00C3330D" w:rsidRPr="00347F07">
        <w:rPr>
          <w:rFonts w:ascii="Times New Roman" w:hAnsi="Times New Roman" w:cs="Times New Roman"/>
        </w:rPr>
        <w:fldChar w:fldCharType="end"/>
      </w:r>
      <w:r w:rsidRPr="00347F07">
        <w:rPr>
          <w:rFonts w:ascii="Times New Roman" w:hAnsi="Times New Roman" w:cs="Times New Roman"/>
        </w:rPr>
        <w:t xml:space="preserve"> Adicionalmente a la consideración de que los derechos humanos son un límite al poder público, es preciso señalar que también se configura como una forma de direccionarlo (este tema se lo analizará a profundidad en el siguiente apartado).</w:t>
      </w:r>
    </w:p>
    <w:p w:rsidR="009F2B47" w:rsidRPr="00347F07" w:rsidRDefault="009F2B47" w:rsidP="00347F07">
      <w:pPr>
        <w:ind w:right="85"/>
        <w:jc w:val="both"/>
        <w:rPr>
          <w:rFonts w:ascii="Times New Roman" w:hAnsi="Times New Roman" w:cs="Times New Roman"/>
        </w:rPr>
      </w:pPr>
    </w:p>
    <w:p w:rsidR="009F2B47" w:rsidRPr="00347F07" w:rsidRDefault="009F2B47" w:rsidP="00347F07">
      <w:pPr>
        <w:ind w:right="85"/>
        <w:jc w:val="both"/>
        <w:rPr>
          <w:rFonts w:ascii="Times New Roman" w:hAnsi="Times New Roman" w:cs="Times New Roman"/>
        </w:rPr>
      </w:pPr>
      <w:r w:rsidRPr="00347F07">
        <w:rPr>
          <w:rFonts w:ascii="Times New Roman" w:hAnsi="Times New Roman" w:cs="Times New Roman"/>
        </w:rPr>
        <w:t xml:space="preserve">En referencia al tema que nos atañe, toda conducta que vaya en contra del deber de respeto contenida en la CADH o el PIDCP y que le pueda ser atribuida al Estado, será considerada como un hecho internacionalmente ilícito y generará su responsabilidad. En este sentido, si es que un Estado viola directamente los derechos humanos a través de la conducta de sus agentes, será responsable internacionalmente por incumplir su deber de respeto. Así, la desaparición forzada de personas o la ejecución extrajudicial por parte de la Policía Nacional generará la responsabilidad internacional del Estado cuando dichos agentes actúan en su capacidad oficial. Aquí, un elemento central es la </w:t>
      </w:r>
      <w:r w:rsidRPr="00347F07">
        <w:rPr>
          <w:rFonts w:ascii="Times New Roman" w:hAnsi="Times New Roman" w:cs="Times New Roman"/>
        </w:rPr>
        <w:lastRenderedPageBreak/>
        <w:t>atribución de la conducta al Estado supuestamente responsable. Es lógico que el Estado no puede actuar sino a través de intermediarios. Tradicionalmente le será atribuible aquella conducta llevada a cabo por sus agentes en ejercicio de sus competencias (dichas competencias estarán definidas en el ordenamiento jurídico interno). En los casos de violaciones a los derechos humanos, se presume que la actuación de los/as agentes estatales será atribuible al Estado salvo que se demuestre que no actuaban en ejercicio de sus funciones. Adicionalmente, es necesario mencionar que se generará la responsabilidad del Estado por violaciones a los derechos humanos cuando la actuación de agentes estatales, aun cuando actúen ultra vires, i.e. que excede sus funciones. Esto se verificará siempre y cuando el agente llevó a cabo esa violación a los derechos humanos, aprovechando el poder que su posición como agente le otorgaba.</w:t>
      </w:r>
    </w:p>
    <w:p w:rsidR="009F2B47" w:rsidRPr="00347F07" w:rsidRDefault="009F2B47" w:rsidP="00347F07">
      <w:pPr>
        <w:ind w:right="85"/>
        <w:jc w:val="both"/>
        <w:rPr>
          <w:rFonts w:ascii="Times New Roman" w:hAnsi="Times New Roman" w:cs="Times New Roman"/>
        </w:rPr>
      </w:pPr>
    </w:p>
    <w:p w:rsidR="009F2B47" w:rsidRPr="00347F07" w:rsidRDefault="009F2B47" w:rsidP="00347F07">
      <w:pPr>
        <w:ind w:right="85"/>
        <w:jc w:val="both"/>
        <w:rPr>
          <w:rFonts w:ascii="Times New Roman" w:hAnsi="Times New Roman" w:cs="Times New Roman"/>
          <w:lang w:val="en-US"/>
        </w:rPr>
      </w:pPr>
      <w:r w:rsidRPr="00347F07">
        <w:rPr>
          <w:rFonts w:ascii="Times New Roman" w:hAnsi="Times New Roman" w:cs="Times New Roman"/>
        </w:rPr>
        <w:t xml:space="preserve">Cabe señalarse, sin embargo, que hay algunos casos en los cuales las conductas de terceros pueden generar la responsabilidad del Estado, como se mencionó en el apartado anterior. Esto se da, entre otras circunstancias, cuando actúan en ejercicio de poder público. Para poder determinar si este es el caso, la Comisión de Derechos Internacional de las Naciones Unidas ha presentado tres criterios a ser tenidos en cuenta; a saber: si es que el contenido es estatal; si, normalmente, el Estado se reserva su ejecución; y, si es que, para su ejercicio, es preciso la autorización estatal. </w:t>
      </w:r>
      <w:r w:rsidR="00C3330D" w:rsidRPr="00347F07">
        <w:rPr>
          <w:rFonts w:ascii="Times New Roman" w:hAnsi="Times New Roman" w:cs="Times New Roman"/>
        </w:rPr>
        <w:fldChar w:fldCharType="begin"/>
      </w:r>
      <w:r w:rsidR="00347F07">
        <w:rPr>
          <w:rFonts w:ascii="Times New Roman" w:hAnsi="Times New Roman" w:cs="Times New Roman"/>
        </w:rPr>
        <w:instrText xml:space="preserve"> ADDIN ZOTERO_ITEM CSL_CITATION {"citationID":"vOzzI7oQ","properties":{"formattedCitation":"{\\rtf James Crawford, {\\i{}State responsibility. The general part} (Reino Unido: Cambridge University Printing House, 2013), 129-30.}","plainCitation":"James Crawford, State responsibility. The general part (Reino Unido: Cambridge University Printing House, 2013), 129-30."},"citationItems":[{"id":28,"uris":["http://zotero.org/users/2489424/items/DU268NXX"],"uri":["http://zotero.org/users/2489424/items/DU268NXX"],"itemData":{"id":28,"type":"book","title":"State responsibility. The general part","publisher":"Cambridge University Printing House","publisher-place":"Reino Unido","number-of-pages":"825","event-place":"Reino Unido","ISBN":"978-1-107-47778-0","language":"Inglés","author":[{"family":"Crawford","given":"James"}],"issued":{"date-parts":[["2013"]]}},"locator":"129 - 130","label":"page"}],"schema":"https://github.com/citation-style-language/schema/raw/master/csl-citation.json"} </w:instrText>
      </w:r>
      <w:r w:rsidR="00C3330D" w:rsidRPr="00347F07">
        <w:rPr>
          <w:rFonts w:ascii="Times New Roman" w:hAnsi="Times New Roman" w:cs="Times New Roman"/>
        </w:rPr>
        <w:fldChar w:fldCharType="separate"/>
      </w:r>
      <w:r w:rsidR="00347F07" w:rsidRPr="00347F07">
        <w:rPr>
          <w:rFonts w:ascii="Times New Roman" w:eastAsia="Times New Roman" w:hAnsi="Times New Roman" w:cs="Times New Roman"/>
          <w:lang w:val="en-US"/>
        </w:rPr>
        <w:t xml:space="preserve">James Crawford, </w:t>
      </w:r>
      <w:r w:rsidR="00347F07" w:rsidRPr="00347F07">
        <w:rPr>
          <w:rFonts w:ascii="Times New Roman" w:eastAsia="Times New Roman" w:hAnsi="Times New Roman" w:cs="Times New Roman"/>
          <w:i/>
          <w:iCs/>
          <w:lang w:val="en-US"/>
        </w:rPr>
        <w:t>State responsibility. The general part</w:t>
      </w:r>
      <w:r w:rsidR="00347F07" w:rsidRPr="00347F07">
        <w:rPr>
          <w:rFonts w:ascii="Times New Roman" w:eastAsia="Times New Roman" w:hAnsi="Times New Roman" w:cs="Times New Roman"/>
          <w:lang w:val="en-US"/>
        </w:rPr>
        <w:t xml:space="preserve"> (Reino Unido: Cambridge University Printing House, 2013), 129-30.</w:t>
      </w:r>
      <w:r w:rsidR="00C3330D" w:rsidRPr="00347F07">
        <w:rPr>
          <w:rFonts w:ascii="Times New Roman" w:hAnsi="Times New Roman" w:cs="Times New Roman"/>
        </w:rPr>
        <w:fldChar w:fldCharType="end"/>
      </w:r>
    </w:p>
    <w:p w:rsidR="009F2B47" w:rsidRPr="00347F07" w:rsidRDefault="009F2B47" w:rsidP="00347F07">
      <w:pPr>
        <w:ind w:right="85"/>
        <w:jc w:val="both"/>
        <w:rPr>
          <w:rFonts w:ascii="Times New Roman" w:hAnsi="Times New Roman" w:cs="Times New Roman"/>
          <w:lang w:val="en-US"/>
        </w:rPr>
      </w:pPr>
    </w:p>
    <w:p w:rsidR="009F2B47" w:rsidRPr="00347F07" w:rsidRDefault="009F2B47" w:rsidP="00347F07">
      <w:pPr>
        <w:pStyle w:val="Prrafodelista"/>
        <w:numPr>
          <w:ilvl w:val="0"/>
          <w:numId w:val="1"/>
        </w:numPr>
        <w:spacing w:line="240" w:lineRule="auto"/>
        <w:rPr>
          <w:rFonts w:cs="Times New Roman"/>
          <w:b/>
          <w:lang w:val="es-ES_tradnl"/>
        </w:rPr>
      </w:pPr>
      <w:r w:rsidRPr="00347F07">
        <w:rPr>
          <w:rFonts w:cs="Times New Roman"/>
          <w:b/>
          <w:lang w:val="es-ES_tradnl"/>
        </w:rPr>
        <w:t>Garantía</w:t>
      </w:r>
    </w:p>
    <w:p w:rsidR="009F2B47" w:rsidRPr="00347F07" w:rsidRDefault="009F2B47" w:rsidP="00347F07">
      <w:pPr>
        <w:jc w:val="both"/>
        <w:rPr>
          <w:rFonts w:ascii="Times New Roman" w:hAnsi="Times New Roman" w:cs="Times New Roman"/>
        </w:rPr>
      </w:pPr>
    </w:p>
    <w:p w:rsidR="009F2B47" w:rsidRPr="00347F07" w:rsidRDefault="009F2B47" w:rsidP="00347F07">
      <w:pPr>
        <w:jc w:val="both"/>
        <w:rPr>
          <w:rFonts w:ascii="Times New Roman" w:hAnsi="Times New Roman" w:cs="Times New Roman"/>
        </w:rPr>
      </w:pPr>
      <w:r w:rsidRPr="00347F07">
        <w:rPr>
          <w:rFonts w:ascii="Times New Roman" w:hAnsi="Times New Roman" w:cs="Times New Roman"/>
        </w:rPr>
        <w:t xml:space="preserve">La segunda obligación contenida en el artículo 1(1) de la CADH y el artículo 2 del PIDCP es la de garantizar los derechos humanos. Ésta, a diferencia de la que vimos en el apartado anterior, es una obligación de carácter positivo que implica una actuación por parte del Estado. Su fundamento es la noción de que los derechos humanos son no solo el límite del poder público sino un mecanismo para direccionarlo a través una serie de pautas que los Estados deberán cumplir a fin de adecuar su conducta a sus obligaciones internacionales. Mowbray, al respecto, señala que, aunque haya apariencia de que el derecho no exige una conducta positiva por parte del titular de la obligación, el principio de efectividad exige, en muchos casos, una actuación por parte de éste a fin de hacerlo efectivo. </w:t>
      </w:r>
      <w:r w:rsidR="00C3330D" w:rsidRPr="00347F07">
        <w:rPr>
          <w:rFonts w:ascii="Times New Roman" w:hAnsi="Times New Roman" w:cs="Times New Roman"/>
        </w:rPr>
        <w:fldChar w:fldCharType="begin"/>
      </w:r>
      <w:r w:rsidR="00347F07">
        <w:rPr>
          <w:rFonts w:ascii="Times New Roman" w:hAnsi="Times New Roman" w:cs="Times New Roman"/>
        </w:rPr>
        <w:instrText xml:space="preserve"> ADDIN ZOTERO_ITEM CSL_CITATION {"citationID":"DjXEeM2L","properties":{"formattedCitation":"{\\rtf Alistair Mowbray, \\uc0\\u171{}The development of positive obligations under the European Convention on Human Rights by the European Court of Human Rights\\uc0\\u187{}, en {\\i{}Regional Protection of Human Rights} (Portland: Hart Publishing, 2004), 370.}","plainCitation":"Alistair Mowbray, «The development of positive obligations under the European Convention on Human Rights by the European Court of Human Rights», en Regional Protection of Human Rights (Portland: Hart Publishing, 2004), 370."},"citationItems":[{"id":77,"uris":["http://zotero.org/users/2489424/items/VVC9NDUC"],"uri":["http://zotero.org/users/2489424/items/VVC9NDUC"],"itemData":{"id":77,"type":"chapter","title":"The development of positive obligations under the European Convention on Human Rights by the European Court of Human Rights","container-title":"Regional Protection of Human Rights","publisher":"Hart Publishing","publisher-place":"Portland","event-place":"Portland","author":[{"family":"Mowbray","given":"Alistair"}],"issued":{"date-parts":[["2004"]]}},"locator":"370"}],"schema":"https://github.com/citation-style-language/schema/raw/master/csl-citation.json"} </w:instrText>
      </w:r>
      <w:r w:rsidR="00C3330D" w:rsidRPr="00347F07">
        <w:rPr>
          <w:rFonts w:ascii="Times New Roman" w:hAnsi="Times New Roman" w:cs="Times New Roman"/>
        </w:rPr>
        <w:fldChar w:fldCharType="separate"/>
      </w:r>
      <w:r w:rsidR="00347F07" w:rsidRPr="00347F07">
        <w:rPr>
          <w:rFonts w:ascii="Times New Roman" w:eastAsia="Times New Roman" w:hAnsi="Times New Roman" w:cs="Times New Roman"/>
          <w:lang w:val="en-US"/>
        </w:rPr>
        <w:t xml:space="preserve">Alistair Mowbray, «The development of positive obligations under the European Convention on Human Rights by the European Court of Human Rights», en </w:t>
      </w:r>
      <w:r w:rsidR="00347F07" w:rsidRPr="00347F07">
        <w:rPr>
          <w:rFonts w:ascii="Times New Roman" w:eastAsia="Times New Roman" w:hAnsi="Times New Roman" w:cs="Times New Roman"/>
          <w:i/>
          <w:iCs/>
          <w:lang w:val="en-US"/>
        </w:rPr>
        <w:t>Regional Protection of Human Rights</w:t>
      </w:r>
      <w:r w:rsidR="00347F07" w:rsidRPr="00347F07">
        <w:rPr>
          <w:rFonts w:ascii="Times New Roman" w:eastAsia="Times New Roman" w:hAnsi="Times New Roman" w:cs="Times New Roman"/>
          <w:lang w:val="en-US"/>
        </w:rPr>
        <w:t xml:space="preserve"> (Portland: Hart Publishing, 2004), 370.</w:t>
      </w:r>
      <w:r w:rsidR="00C3330D" w:rsidRPr="00347F07">
        <w:rPr>
          <w:rFonts w:ascii="Times New Roman" w:hAnsi="Times New Roman" w:cs="Times New Roman"/>
        </w:rPr>
        <w:fldChar w:fldCharType="end"/>
      </w:r>
      <w:r w:rsidRPr="00347F07">
        <w:rPr>
          <w:rFonts w:ascii="Times New Roman" w:hAnsi="Times New Roman" w:cs="Times New Roman"/>
        </w:rPr>
        <w:t>Así, a pesar de que el derecho sea considerado como uno que exige solamente una obligación de abstención (deber de respeto), se debe dilucidar las conductas que son requeridas para dar cumplimiento al derecho y lograr su pleno ejercicio. En este sentido, el derecho a la vida no sólo exige que los agentes estatales no priven arbitrariamente de la vida a las personas sometidas a la jurisdicción del Estado sino que, además, requiere que se generen programas de capacitación para miembros de las fuerzas encargadas de hacer cumplir la ley para evitar o investigar (de ser el caso) dichas conductas.</w:t>
      </w:r>
    </w:p>
    <w:p w:rsidR="009F2B47" w:rsidRPr="00347F07" w:rsidRDefault="009F2B47" w:rsidP="00347F07">
      <w:pPr>
        <w:jc w:val="both"/>
        <w:rPr>
          <w:rFonts w:ascii="Times New Roman" w:hAnsi="Times New Roman" w:cs="Times New Roman"/>
        </w:rPr>
      </w:pPr>
    </w:p>
    <w:p w:rsidR="009F2B47" w:rsidRPr="00347F07" w:rsidRDefault="009F2B47" w:rsidP="00347F07">
      <w:pPr>
        <w:jc w:val="both"/>
        <w:rPr>
          <w:rFonts w:ascii="Times New Roman" w:hAnsi="Times New Roman" w:cs="Times New Roman"/>
        </w:rPr>
      </w:pPr>
      <w:r w:rsidRPr="00347F07">
        <w:rPr>
          <w:rFonts w:ascii="Times New Roman" w:hAnsi="Times New Roman" w:cs="Times New Roman"/>
        </w:rPr>
        <w:t xml:space="preserve">La CoIDH clarificó que es deber del Estado el organizar “todas las estructuras a través de las cuales se manifiesta el ejercicio del poder público, de tal manera que sean capaces de asegurar jurídicamente el libre y pleno ejercicio de los derechos humanos” </w:t>
      </w:r>
      <w:r w:rsidR="00C3330D" w:rsidRPr="00347F07">
        <w:rPr>
          <w:rFonts w:ascii="Times New Roman" w:hAnsi="Times New Roman" w:cs="Times New Roman"/>
        </w:rPr>
        <w:fldChar w:fldCharType="begin"/>
      </w:r>
      <w:r w:rsidR="00347F07">
        <w:rPr>
          <w:rFonts w:ascii="Times New Roman" w:hAnsi="Times New Roman" w:cs="Times New Roman"/>
        </w:rPr>
        <w:instrText xml:space="preserve"> ADDIN ZOTERO_ITEM CSL_CITATION {"citationID":"2225b57sco","properties":{"formattedCitation":"(Corte IDH, 1989, p. 166)","plainCitation":"(Corte IDH, 1989, p. 166)","dontUpdate":true},"citationItems":[{"id":29,"uris":["http://zotero.org/users/2489424/items/MT429RRI"],"uri":["http://zotero.org/users/2489424/items/MT429RRI"],"itemData":{"id":29,"type":"legal_case","title":"Caso Velásquez Rodríguez Vs. Honduras. Fondo","author":[{"family":"Corte IDH","given":""}],"issued":{"date-parts":[["1989"]],"season":"Sentencia de   de enero de"}},"locator":"166"}],"schema":"https://github.com/citation-style-language/schema/raw/master/csl-citation.json"} </w:instrText>
      </w:r>
      <w:r w:rsidR="00C3330D" w:rsidRPr="00347F07">
        <w:rPr>
          <w:rFonts w:ascii="Times New Roman" w:hAnsi="Times New Roman" w:cs="Times New Roman"/>
        </w:rPr>
        <w:fldChar w:fldCharType="separate"/>
      </w:r>
      <w:r w:rsidRPr="00347F07">
        <w:rPr>
          <w:rFonts w:ascii="Times New Roman" w:hAnsi="Times New Roman" w:cs="Times New Roman"/>
          <w:noProof/>
        </w:rPr>
        <w:t>(Corte IDH, 1989, párr. 166)</w:t>
      </w:r>
      <w:r w:rsidR="00C3330D" w:rsidRPr="00347F07">
        <w:rPr>
          <w:rFonts w:ascii="Times New Roman" w:hAnsi="Times New Roman" w:cs="Times New Roman"/>
        </w:rPr>
        <w:fldChar w:fldCharType="end"/>
      </w:r>
      <w:r w:rsidRPr="00347F07">
        <w:rPr>
          <w:rFonts w:ascii="Times New Roman" w:hAnsi="Times New Roman" w:cs="Times New Roman"/>
        </w:rPr>
        <w:t xml:space="preserve">. Siguiendo su análisis, la Corte señala que, en lo referente a la obligación de garantizar, “los Estados deben prevenir, investigar y sancionar toda </w:t>
      </w:r>
      <w:r w:rsidRPr="00347F07">
        <w:rPr>
          <w:rFonts w:ascii="Times New Roman" w:hAnsi="Times New Roman" w:cs="Times New Roman"/>
        </w:rPr>
        <w:lastRenderedPageBreak/>
        <w:t xml:space="preserve">violación de los derechos reconocidos por la Convención y procurar, además, el restablecimiento, si es posible, del derecho conculcado y, en su caso, la reparación de los daños producidos por la violación de los derechos humanos.” </w:t>
      </w:r>
      <w:r w:rsidR="00C3330D" w:rsidRPr="00347F07">
        <w:rPr>
          <w:rFonts w:ascii="Times New Roman" w:hAnsi="Times New Roman" w:cs="Times New Roman"/>
        </w:rPr>
        <w:fldChar w:fldCharType="begin"/>
      </w:r>
      <w:r w:rsidR="00347F07">
        <w:rPr>
          <w:rFonts w:ascii="Times New Roman" w:hAnsi="Times New Roman" w:cs="Times New Roman"/>
        </w:rPr>
        <w:instrText xml:space="preserve"> ADDIN ZOTERO_ITEM CSL_CITATION {"citationID":"W0zsM4qz","properties":{"formattedCitation":"(Corte IDH, 1989, p. 166)","plainCitation":"(Corte IDH, 1989, p. 166)","dontUpdate":true},"citationItems":[{"id":29,"uris":["http://zotero.org/users/2489424/items/MT429RRI"],"uri":["http://zotero.org/users/2489424/items/MT429RRI"],"itemData":{"id":29,"type":"legal_case","title":"Caso Velásquez Rodríguez Vs. Honduras. Fondo","author":[{"family":"Corte IDH","given":""}],"issued":{"date-parts":[["1989"]],"season":"Sentencia de   de enero de"}},"locator":"166","label":"page"}],"schema":"https://github.com/citation-style-language/schema/raw/master/csl-citation.json"} </w:instrText>
      </w:r>
      <w:r w:rsidR="00C3330D" w:rsidRPr="00347F07">
        <w:rPr>
          <w:rFonts w:ascii="Times New Roman" w:hAnsi="Times New Roman" w:cs="Times New Roman"/>
        </w:rPr>
        <w:fldChar w:fldCharType="separate"/>
      </w:r>
      <w:r w:rsidRPr="00347F07">
        <w:rPr>
          <w:rFonts w:ascii="Times New Roman" w:hAnsi="Times New Roman" w:cs="Times New Roman"/>
          <w:noProof/>
        </w:rPr>
        <w:t>(Corte IDH, 1989, párr. 166)</w:t>
      </w:r>
      <w:r w:rsidR="00C3330D" w:rsidRPr="00347F07">
        <w:rPr>
          <w:rFonts w:ascii="Times New Roman" w:hAnsi="Times New Roman" w:cs="Times New Roman"/>
        </w:rPr>
        <w:fldChar w:fldCharType="end"/>
      </w:r>
      <w:r w:rsidRPr="00347F07">
        <w:rPr>
          <w:rFonts w:ascii="Times New Roman" w:hAnsi="Times New Roman" w:cs="Times New Roman"/>
        </w:rPr>
        <w:t xml:space="preserve"> Para el análisis de esta obligación, utilizaremos la clasificación hecha por Melish, recogiendo la jurisprudencia de la Corte IDH. Así, el deber de garantía implica las siguientes obligaciones concretas: prevenir, investigar, sancionar, reparar y asegurar un contenido mínimo del derecho. </w:t>
      </w:r>
      <w:r w:rsidR="00C3330D" w:rsidRPr="00347F07">
        <w:rPr>
          <w:rFonts w:ascii="Times New Roman" w:hAnsi="Times New Roman" w:cs="Times New Roman"/>
        </w:rPr>
        <w:fldChar w:fldCharType="begin"/>
      </w:r>
      <w:r w:rsidRPr="00347F07">
        <w:rPr>
          <w:rFonts w:ascii="Times New Roman" w:hAnsi="Times New Roman" w:cs="Times New Roman"/>
        </w:rPr>
        <w:instrText xml:space="preserve"> ADDIN ZOTERO_ITEM CSL_CITATION {"citationID":"VYH27roC","properties":{"custom":"(Fa\\uc0\\u250{}ndez Ledesma, 2004, 12-8; Melish, 2002, pp. 160-87)","unsorted":true,"formattedCitation":"{\\rtf (Fa\\uc0\\u250{}ndez Ledesma, 2004, 12-8; Melish, 2002, pp. 160-87)}","plainCitation":"(Faúndez Ledesma, 2004, 12-8; Melish, 2002, pp. 160-87)"},"citationItems":[{"id":4,"uris":["http://zotero.org/users/2489424/items/6CIBXA4K"],"uri":["http://zotero.org/users/2489424/items/6CIBXA4K"],"itemData":{"id":4,"type":"book","title":"Sistema Interamericano de Protección de Derechos Humanos. Aspectos institucionales y procesales","publisher":"IIDH","publisher-place":"Costa Rica","number-of-pages":"600","edition":"3era","event-place":"Costa Rica","ISBN":"9968-917-24-9","shortTitle":"Sistema Interamericano de Protección de Derechos Humanos","language":"español","author":[{"family":"Faúndez Ledesma","given":"Héctor"}],"issued":{"date-parts":[["2004"]]}},"label":"page"},{"id":58,"uris":["http://zotero.org/users/2489424/items/AEHZBGVE"],"uri":["http://zotero.org/users/2489424/items/AEHZBGVE"],"itemData":{"id":58,"type":"book","title":"Protecting Economic, Social and Cultural Rights in the Inter-American Human Rights System: A Manual on Presenting Claims","publisher":"CDES","publisher-place":"Ecuador","event-place":"Ecuador","author":[{"family":"Melish","given":"Tara"}],"issued":{"date-parts":[["2002"]]}},"locator":"12-8","label":"page"}],"schema":"https://github.com/citation-style-language/schema/raw/master/csl-citation.json"} </w:instrText>
      </w:r>
      <w:r w:rsidR="00C3330D" w:rsidRPr="00347F07">
        <w:rPr>
          <w:rFonts w:ascii="Times New Roman" w:hAnsi="Times New Roman" w:cs="Times New Roman"/>
        </w:rPr>
        <w:fldChar w:fldCharType="separate"/>
      </w:r>
      <w:r w:rsidRPr="00347F07">
        <w:rPr>
          <w:rFonts w:ascii="Times New Roman" w:eastAsia="Times New Roman" w:hAnsi="Times New Roman" w:cs="Times New Roman"/>
        </w:rPr>
        <w:t>(Faúndez Ledesma, 2004, 12-8; Melish, 2002, pp. 160-187)</w:t>
      </w:r>
      <w:r w:rsidR="00C3330D" w:rsidRPr="00347F07">
        <w:rPr>
          <w:rFonts w:ascii="Times New Roman" w:hAnsi="Times New Roman" w:cs="Times New Roman"/>
        </w:rPr>
        <w:fldChar w:fldCharType="end"/>
      </w:r>
    </w:p>
    <w:p w:rsidR="009F2B47" w:rsidRPr="00347F07" w:rsidRDefault="009F2B47" w:rsidP="00347F07">
      <w:pPr>
        <w:jc w:val="both"/>
        <w:rPr>
          <w:rFonts w:ascii="Times New Roman" w:hAnsi="Times New Roman" w:cs="Times New Roman"/>
        </w:rPr>
      </w:pPr>
    </w:p>
    <w:p w:rsidR="009F2B47" w:rsidRPr="00415B9D" w:rsidRDefault="009F2B47" w:rsidP="00347F07">
      <w:pPr>
        <w:jc w:val="both"/>
        <w:rPr>
          <w:rFonts w:ascii="Times New Roman" w:hAnsi="Times New Roman" w:cs="Times New Roman"/>
          <w:lang w:val="en-US"/>
        </w:rPr>
      </w:pPr>
      <w:r w:rsidRPr="00347F07">
        <w:rPr>
          <w:rFonts w:ascii="Times New Roman" w:hAnsi="Times New Roman" w:cs="Times New Roman"/>
        </w:rPr>
        <w:t xml:space="preserve">En lo que respecta a la obligación de prevenir, ésta puede dividirse en las siguientes categorías: regular, monitorear, conducir estudios y remover obstáculos estructurales. La regulación implica, entre otras cosas, la imposición de marcos legales a fin de limitar las conductas que pudieran vulnerar derechos e incluye la previsión de sanciones para ciertas conductas. La tipificación de la violencia en contra de la mujer en el ordenamiento jurídico interno es un ejemplo de una medida de cumplimiento de la obligación de garantizar a través de la regulación. Por otro lado, el monitoreo, implica que se creen programas, planes y actividades con el fin de obtener información relativa al grado de cumplimiento o incumplimiento de los derechos humanos. El conducir estudios de impacto de actuaciones del Estado va de la mano con el monitoreo. Gialdino nombra a estas subobligaciones como “conocer”, formar diagnósticos y vigilar la situación de los derechos humanos de las personas bajo su jurisdicción. </w:t>
      </w:r>
      <w:r w:rsidR="00C3330D" w:rsidRPr="00347F07">
        <w:rPr>
          <w:rFonts w:ascii="Times New Roman" w:hAnsi="Times New Roman" w:cs="Times New Roman"/>
        </w:rPr>
        <w:fldChar w:fldCharType="begin"/>
      </w:r>
      <w:r w:rsidR="00347F07">
        <w:rPr>
          <w:rFonts w:ascii="Times New Roman" w:hAnsi="Times New Roman" w:cs="Times New Roman"/>
        </w:rPr>
        <w:instrText xml:space="preserve"> ADDIN ZOTERO_ITEM CSL_CITATION {"citationID":"NuZdKC2O","properties":{"formattedCitation":"{\\rtf Gialdino, {\\i{}Derecho internacional de los derechos humanos: principios, fuentes, interpretaci\\uc0\\u243{}n y obligaciones}, 493-97.}","plainCitation":"Gialdino, Derecho internacional de los derechos humanos: principios, fuentes, interpretación y obligaciones, 493-97."},"citationItems":[{"id":76,"uris":["http://zotero.org/users/2489424/items/IE485IQH"],"uri":["http://zotero.org/users/2489424/items/IE485IQH"],"itemData":{"id":76,"type":"book","title":"Derecho internacional de los derechos humanos: principios, fuentes, interpretación y obligaciones","publisher":"Abeledo Perrot","publisher-place":"Buenos Aires","event-place":"Buenos Aires","author":[{"family":"Gialdino","given":"Ronaldo"}],"issued":{"date-parts":[["2013"]]}},"locator":"493-497"}],"schema":"https://github.com/citation-style-language/schema/raw/master/csl-citation.json"} </w:instrText>
      </w:r>
      <w:r w:rsidR="00C3330D" w:rsidRPr="00347F07">
        <w:rPr>
          <w:rFonts w:ascii="Times New Roman" w:hAnsi="Times New Roman" w:cs="Times New Roman"/>
        </w:rPr>
        <w:fldChar w:fldCharType="separate"/>
      </w:r>
      <w:r w:rsidR="00347F07" w:rsidRPr="00347F07">
        <w:rPr>
          <w:rFonts w:ascii="Times New Roman" w:eastAsia="Times New Roman" w:hAnsi="Times New Roman" w:cs="Times New Roman"/>
        </w:rPr>
        <w:t xml:space="preserve">Gialdino, </w:t>
      </w:r>
      <w:r w:rsidR="00347F07" w:rsidRPr="00347F07">
        <w:rPr>
          <w:rFonts w:ascii="Times New Roman" w:eastAsia="Times New Roman" w:hAnsi="Times New Roman" w:cs="Times New Roman"/>
          <w:i/>
          <w:iCs/>
        </w:rPr>
        <w:t>Derecho internacional de los derechos humanos: principios, fuentes, interpretación y obligaciones</w:t>
      </w:r>
      <w:r w:rsidR="00347F07" w:rsidRPr="00347F07">
        <w:rPr>
          <w:rFonts w:ascii="Times New Roman" w:eastAsia="Times New Roman" w:hAnsi="Times New Roman" w:cs="Times New Roman"/>
        </w:rPr>
        <w:t>, 493-97.</w:t>
      </w:r>
      <w:r w:rsidR="00C3330D" w:rsidRPr="00347F07">
        <w:rPr>
          <w:rFonts w:ascii="Times New Roman" w:hAnsi="Times New Roman" w:cs="Times New Roman"/>
        </w:rPr>
        <w:fldChar w:fldCharType="end"/>
      </w:r>
      <w:r w:rsidRPr="00347F07">
        <w:rPr>
          <w:rFonts w:ascii="Times New Roman" w:hAnsi="Times New Roman" w:cs="Times New Roman"/>
        </w:rPr>
        <w:t xml:space="preserve"> Los dos ámbitos son esenciales para el desarrollo de políticas públicas, planes y programas nacionales para alcanzar el pleno ejercicio de los derechos. Por último, el remover obstáculos estructurales que impiden el pleno ejercicio de los derechos humanos es uno de los componentes de la obligación de garantizar. La CoIDH ha establecido que se deben eliminar todas aquellas barreras que impidan a las personas el goce y ejercicio de los derechos, en relación el deber de adecuar la normativa interna (art. 2 CADH). </w:t>
      </w:r>
      <w:r w:rsidR="00C3330D" w:rsidRPr="00347F07">
        <w:rPr>
          <w:rFonts w:ascii="Times New Roman" w:hAnsi="Times New Roman" w:cs="Times New Roman"/>
        </w:rPr>
        <w:fldChar w:fldCharType="begin"/>
      </w:r>
      <w:r w:rsidR="00347F07">
        <w:rPr>
          <w:rFonts w:ascii="Times New Roman" w:hAnsi="Times New Roman" w:cs="Times New Roman"/>
        </w:rPr>
        <w:instrText xml:space="preserve"> ADDIN ZOTERO_ITEM CSL_CITATION {"citationID":"BczTiOao","properties":{"formattedCitation":"(Corte IDH, 2007, p. 57)","plainCitation":"(Corte IDH, 2007, p. 57)","dontUpdate":true},"citationItems":[{"id":78,"uris":["http://zotero.org/users/2489424/items/29FIVWNA"],"uri":["http://zotero.org/users/2489424/items/29FIVWNA"],"itemData":{"id":78,"type":"legal_case","title":"Caso Zambrano Vélez y otros. Fondo, reparaciones y costas","author":[{"family":"Corte IDH","given":""}],"issued":{"date-parts":[["2007",7,4]]}},"locator":"57"}],"schema":"https://github.com/citation-style-language/schema/raw/master/csl-citation.json"} </w:instrText>
      </w:r>
      <w:r w:rsidR="00C3330D" w:rsidRPr="00347F07">
        <w:rPr>
          <w:rFonts w:ascii="Times New Roman" w:hAnsi="Times New Roman" w:cs="Times New Roman"/>
        </w:rPr>
        <w:fldChar w:fldCharType="separate"/>
      </w:r>
      <w:r w:rsidRPr="00415B9D">
        <w:rPr>
          <w:rFonts w:ascii="Times New Roman" w:hAnsi="Times New Roman" w:cs="Times New Roman"/>
          <w:noProof/>
          <w:lang w:val="en-US"/>
        </w:rPr>
        <w:t>(Corte IDH, 2007, párr. 57)</w:t>
      </w:r>
      <w:r w:rsidR="00C3330D" w:rsidRPr="00347F07">
        <w:rPr>
          <w:rFonts w:ascii="Times New Roman" w:hAnsi="Times New Roman" w:cs="Times New Roman"/>
        </w:rPr>
        <w:fldChar w:fldCharType="end"/>
      </w:r>
    </w:p>
    <w:p w:rsidR="009F2B47" w:rsidRPr="00415B9D" w:rsidRDefault="009F2B47" w:rsidP="00347F07">
      <w:pPr>
        <w:jc w:val="both"/>
        <w:rPr>
          <w:rFonts w:ascii="Times New Roman" w:hAnsi="Times New Roman" w:cs="Times New Roman"/>
          <w:lang w:val="en-US"/>
        </w:rPr>
      </w:pPr>
    </w:p>
    <w:p w:rsidR="009F2B47" w:rsidRPr="00347F07" w:rsidRDefault="009F2B47" w:rsidP="00347F07">
      <w:pPr>
        <w:widowControl w:val="0"/>
        <w:autoSpaceDE w:val="0"/>
        <w:autoSpaceDN w:val="0"/>
        <w:adjustRightInd w:val="0"/>
        <w:spacing w:after="240"/>
        <w:jc w:val="both"/>
        <w:rPr>
          <w:rFonts w:ascii="Times New Roman" w:hAnsi="Times New Roman" w:cs="Times New Roman"/>
        </w:rPr>
      </w:pPr>
      <w:r w:rsidRPr="00347F07">
        <w:rPr>
          <w:rFonts w:ascii="Times New Roman" w:hAnsi="Times New Roman" w:cs="Times New Roman"/>
          <w:lang w:val="en-US"/>
        </w:rPr>
        <w:t xml:space="preserve">Mowbray </w:t>
      </w:r>
      <w:r w:rsidR="00C3330D" w:rsidRPr="00347F07">
        <w:rPr>
          <w:rFonts w:ascii="Times New Roman" w:hAnsi="Times New Roman" w:cs="Times New Roman"/>
        </w:rPr>
        <w:fldChar w:fldCharType="begin"/>
      </w:r>
      <w:r w:rsidR="00347F07" w:rsidRPr="00347F07">
        <w:rPr>
          <w:rFonts w:ascii="Times New Roman" w:hAnsi="Times New Roman" w:cs="Times New Roman"/>
          <w:lang w:val="en-US"/>
        </w:rPr>
        <w:instrText xml:space="preserve"> ADDIN ZOTERO_ITEM CSL_CITATION {"citationID":"BMxCFFIC","properties":{"formattedCitation":"{\\rtf Mowbray, \\uc0\\u171{}The development of positive obligations under the European Convention on Human Rights by the European Court of Human Rights\\uc0\\u187{}, 370-73.}","plainCitation":"Mowbray, «The development of positive obligations under the European Convention on Human Rights by the European Court of Human Rights», 370-73."},"citationItems":[{"id":77,"uris":["http://zotero.org/users/2489424/items/VVC9NDUC"],"uri":["http://zotero.org/users/2489424/items/VVC9NDUC"],"itemData":{"id":77,"type":"chapter","title":"The development of positive obligations under the European Convention on Human Rights by the European Court of Human Rights","container-title":"Regional Protection of Human Rights","publisher":"Hart Publishing","publisher-place":"Portland","event-place":"Portland","author":[{"family":"Mowbray","given":"Alistair"}],"issued":{"date-parts":[["2004"]]}},"locator":"370-373"}],"schema":"https://github.com/citation-style-language/schema/raw/master/csl-citation.json"} </w:instrText>
      </w:r>
      <w:r w:rsidR="00C3330D" w:rsidRPr="00347F07">
        <w:rPr>
          <w:rFonts w:ascii="Times New Roman" w:hAnsi="Times New Roman" w:cs="Times New Roman"/>
        </w:rPr>
        <w:fldChar w:fldCharType="separate"/>
      </w:r>
      <w:r w:rsidR="00347F07" w:rsidRPr="00347F07">
        <w:rPr>
          <w:rFonts w:ascii="Times New Roman" w:eastAsia="Times New Roman" w:hAnsi="Times New Roman" w:cs="Times New Roman"/>
          <w:lang w:val="en-US"/>
        </w:rPr>
        <w:t>Mowbray, «The development of positive obligations under the European Convention on Human Rights by the European Court of Human Rights», 370-73.</w:t>
      </w:r>
      <w:r w:rsidR="00C3330D" w:rsidRPr="00347F07">
        <w:rPr>
          <w:rFonts w:ascii="Times New Roman" w:hAnsi="Times New Roman" w:cs="Times New Roman"/>
        </w:rPr>
        <w:fldChar w:fldCharType="end"/>
      </w:r>
      <w:r w:rsidRPr="00347F07">
        <w:rPr>
          <w:rFonts w:ascii="Times New Roman" w:hAnsi="Times New Roman" w:cs="Times New Roman"/>
        </w:rPr>
        <w:t xml:space="preserve">recoge la amplia jurisprudencia de la Corte Europea de Derechos Humanos para reafirma que la investigación y sanción no es una mera formalidad sino que debe ser realizada con la debida diligencia para esclarecer los hechos. La CoIDH en la sentencia del </w:t>
      </w:r>
      <w:r w:rsidRPr="00347F07">
        <w:rPr>
          <w:rFonts w:ascii="Times New Roman" w:hAnsi="Times New Roman" w:cs="Times New Roman"/>
          <w:i/>
        </w:rPr>
        <w:t>caso Velásquez Rodríguez</w:t>
      </w:r>
      <w:r w:rsidRPr="00347F07">
        <w:rPr>
          <w:rFonts w:ascii="Times New Roman" w:hAnsi="Times New Roman" w:cs="Times New Roman"/>
        </w:rPr>
        <w:t xml:space="preserve"> estableció, reafirmando la importancia de la investigación y sanción de los responsables, que </w:t>
      </w:r>
    </w:p>
    <w:p w:rsidR="009F2B47" w:rsidRPr="00347F07" w:rsidRDefault="009F2B47" w:rsidP="00347F07">
      <w:pPr>
        <w:widowControl w:val="0"/>
        <w:autoSpaceDE w:val="0"/>
        <w:autoSpaceDN w:val="0"/>
        <w:adjustRightInd w:val="0"/>
        <w:spacing w:after="240"/>
        <w:ind w:left="567"/>
        <w:jc w:val="both"/>
        <w:rPr>
          <w:rFonts w:ascii="Times New Roman" w:hAnsi="Times New Roman" w:cs="Times New Roman"/>
        </w:rPr>
      </w:pPr>
      <w:r w:rsidRPr="00347F07">
        <w:rPr>
          <w:rFonts w:ascii="Times New Roman" w:hAnsi="Times New Roman" w:cs="Times New Roman"/>
        </w:rPr>
        <w:t xml:space="preserve">(e)l Estado está, por otra parte, obligado a investigar toda situación en la que se hayan violado los derechos humanos protegidos por la Convención. Si el aparato del Estado actúa de modo que tal violación quede impune y no se restablezca, en cuanto sea posible, a la víctima en la plenitud de sus derechos, puede afirmarse que ha incumplido el deber de garantizar su libre y pleno ejercicio a las personas sujetas a su jurisdicción. Lo mismo es válido cuando se tolere que los particulares o grupos de ellos actúen libre o impunemente en menoscabo de los derechos humanos reconocidos en la Convención. </w:t>
      </w:r>
      <w:r w:rsidR="00C3330D" w:rsidRPr="00347F07">
        <w:rPr>
          <w:rFonts w:ascii="Times New Roman" w:hAnsi="Times New Roman" w:cs="Times New Roman"/>
        </w:rPr>
        <w:fldChar w:fldCharType="begin"/>
      </w:r>
      <w:r w:rsidR="00347F07">
        <w:rPr>
          <w:rFonts w:ascii="Times New Roman" w:hAnsi="Times New Roman" w:cs="Times New Roman"/>
        </w:rPr>
        <w:instrText xml:space="preserve"> ADDIN ZOTERO_ITEM CSL_CITATION {"citationID":"JBYlUU5Z","properties":{"formattedCitation":"(Corte IDH, 1988, p. 176)","plainCitation":"(Corte IDH, 1988, p. 176)","dontUpdate":true},"citationItems":[{"id":50,"uris":["http://zotero.org/users/2489424/items/IQBQTDD8"],"uri":["http://zotero.org/users/2489424/items/IQBQTDD8"],"itemData":{"id":50,"type":"legal_case","title":"Caso Velásquez Rodríguez Vs. Honduras. Fondo","author":[{"family":"Corte IDH","given":""}],"issued":{"date-parts":[["1988",7,29]]}},"locator":"176"}],"schema":"https://github.com/citation-style-language/schema/raw/master/csl-citation.json"} </w:instrText>
      </w:r>
      <w:r w:rsidR="00C3330D" w:rsidRPr="00347F07">
        <w:rPr>
          <w:rFonts w:ascii="Times New Roman" w:hAnsi="Times New Roman" w:cs="Times New Roman"/>
        </w:rPr>
        <w:fldChar w:fldCharType="separate"/>
      </w:r>
      <w:r w:rsidRPr="00347F07">
        <w:rPr>
          <w:rFonts w:ascii="Times New Roman" w:hAnsi="Times New Roman" w:cs="Times New Roman"/>
          <w:noProof/>
        </w:rPr>
        <w:t>(Corte IDH, 1988, párr. 176)</w:t>
      </w:r>
      <w:r w:rsidR="00C3330D" w:rsidRPr="00347F07">
        <w:rPr>
          <w:rFonts w:ascii="Times New Roman" w:hAnsi="Times New Roman" w:cs="Times New Roman"/>
        </w:rPr>
        <w:fldChar w:fldCharType="end"/>
      </w:r>
    </w:p>
    <w:p w:rsidR="009F2B47" w:rsidRPr="00347F07" w:rsidRDefault="009F2B47" w:rsidP="00347F07">
      <w:pPr>
        <w:widowControl w:val="0"/>
        <w:autoSpaceDE w:val="0"/>
        <w:autoSpaceDN w:val="0"/>
        <w:adjustRightInd w:val="0"/>
        <w:spacing w:after="240"/>
        <w:jc w:val="both"/>
        <w:rPr>
          <w:rFonts w:ascii="Times New Roman" w:hAnsi="Times New Roman" w:cs="Times New Roman"/>
        </w:rPr>
      </w:pPr>
      <w:r w:rsidRPr="00347F07">
        <w:rPr>
          <w:rFonts w:ascii="Times New Roman" w:hAnsi="Times New Roman" w:cs="Times New Roman"/>
        </w:rPr>
        <w:t xml:space="preserve">El objetivo de esta obligación, citando el principio 26 del </w:t>
      </w:r>
      <w:r w:rsidRPr="00347F07">
        <w:rPr>
          <w:rFonts w:ascii="Times New Roman" w:hAnsi="Times New Roman" w:cs="Times New Roman"/>
          <w:i/>
        </w:rPr>
        <w:t>Informe Final relativo a la administración de la justicia y los derechos humanos de los detenidos</w:t>
      </w:r>
      <w:r w:rsidRPr="00347F07">
        <w:rPr>
          <w:rFonts w:ascii="Times New Roman" w:hAnsi="Times New Roman" w:cs="Times New Roman"/>
        </w:rPr>
        <w:t xml:space="preserve"> de la ex Comisión de Derechos Humanos, está relacionado con alcanzar una reconciliación justa y durable de la víctima y el perpetrador y de la sociedad como todo. </w:t>
      </w:r>
      <w:r w:rsidR="00C3330D" w:rsidRPr="00347F07">
        <w:rPr>
          <w:rFonts w:ascii="Times New Roman" w:hAnsi="Times New Roman" w:cs="Times New Roman"/>
        </w:rPr>
        <w:fldChar w:fldCharType="begin"/>
      </w:r>
      <w:r w:rsidR="00347F07">
        <w:rPr>
          <w:rFonts w:ascii="Times New Roman" w:hAnsi="Times New Roman" w:cs="Times New Roman"/>
        </w:rPr>
        <w:instrText xml:space="preserve"> ADDIN ZOTERO_ITEM CSL_CITATION {"citationID":"ZF4XlqHq","properties":{"formattedCitation":"{\\rtf Comisi\\uc0\\u243{}n de Derechos Humanos. Subcomisi\\uc0\\u243{}n de Prevenci\\uc0\\u243{}n de Discriminaciones y Protecci\\uc0\\u243{}n de las Minor\\uc0\\u237{}as, La administraci\\uc0\\u243{}n de la justicia y los derechos humanos de los detenidos. La cuesti\\uc0\\u243{}n de la impunidad de los autores de violaciones de los derechos humanos (civiles y pol\\uc0\\u237{}ticos). Informe final elaborado y revisado por M. Joinet en aplicaci\\uc0\\u243{}n de la decisi\\uc0\\u243{}n 1996/119 de la Subcomisi\\uc0\\u243{}n, No. E/CN. 4/Sub. 2/1997/20/Rev.1 (1997).}","plainCitation":"Comisión de Derechos Humanos. Subcomisión de Prevención de Discriminaciones y Protección de las Minorías, La administración de la justicia y los derechos humanos de los detenidos. La cuestión de la impunidad de los autores de violaciones de los derechos humanos (civiles y políticos). Informe final elaborado y revisado por M. Joinet en aplicación de la decisión 1996/119 de la Subcomisión, No. E/CN. 4/Sub. 2/1997/20/Rev.1 (1997)."},"citationItems":[{"id":169,"uris":["http://zotero.org/users/2489424/items/NWRFNWBV"],"uri":["http://zotero.org/users/2489424/items/NWRFNWBV"],"itemData":{"id":169,"type":"legal_case","title":"La administración de la justicia y los derechos humanos de los detenidos. La cuestión de la impunidad de los autores de violaciones de los derechos humanos (civiles y políticos). Informe final elaborado y revisado por M. Joinet en aplicación de la decisión 1996/119 de la Subcomisión","number":"E/CN. 4/Sub. 2/1997/20/Rev.1","author":[{"family":"Comisión de Derechos Humanos. Subcomisión de Prevención de Discriminaciones y Protección de las Minorías","given":""}],"issued":{"date-parts":[["1997"]]}}}],"schema":"https://github.com/citation-style-language/schema/raw/master/csl-citation.json"} </w:instrText>
      </w:r>
      <w:r w:rsidR="00C3330D" w:rsidRPr="00347F07">
        <w:rPr>
          <w:rFonts w:ascii="Times New Roman" w:hAnsi="Times New Roman" w:cs="Times New Roman"/>
        </w:rPr>
        <w:fldChar w:fldCharType="separate"/>
      </w:r>
      <w:r w:rsidR="00347F07" w:rsidRPr="00347F07">
        <w:rPr>
          <w:rFonts w:ascii="Times New Roman" w:eastAsia="Times New Roman" w:hAnsi="Times New Roman" w:cs="Times New Roman"/>
        </w:rPr>
        <w:t xml:space="preserve">Comisión de </w:t>
      </w:r>
      <w:r w:rsidR="00347F07" w:rsidRPr="00347F07">
        <w:rPr>
          <w:rFonts w:ascii="Times New Roman" w:eastAsia="Times New Roman" w:hAnsi="Times New Roman" w:cs="Times New Roman"/>
        </w:rPr>
        <w:lastRenderedPageBreak/>
        <w:t>Derechos Humanos. Subcomisión de Prevención de Discriminaciones y Protección de las Minorías, La administración de la justicia y los derechos humanos de los detenidos. La cuestión de la impunidad de los autores de violaciones de los derechos humanos (civiles y políticos). Informe final elaborado y revisado por M. Joinet en aplicación de la decisión 1996/119 de la Subcomisión, No. E/CN. 4/Sub. 2/1997/20/Rev.1 (1997).</w:t>
      </w:r>
      <w:r w:rsidR="00C3330D" w:rsidRPr="00347F07">
        <w:rPr>
          <w:rFonts w:ascii="Times New Roman" w:hAnsi="Times New Roman" w:cs="Times New Roman"/>
        </w:rPr>
        <w:fldChar w:fldCharType="end"/>
      </w:r>
      <w:r w:rsidRPr="00347F07">
        <w:rPr>
          <w:rFonts w:ascii="Times New Roman" w:hAnsi="Times New Roman" w:cs="Times New Roman"/>
        </w:rPr>
        <w:t xml:space="preserve"> La Corte IDH ha establecido que la impunidad propicia la repetición crónica de las violaciones de los derechos humanos y la total indefensión de las víctimas y de sus familiares. </w:t>
      </w:r>
      <w:r w:rsidR="00C3330D" w:rsidRPr="00347F07">
        <w:rPr>
          <w:rFonts w:ascii="Times New Roman" w:hAnsi="Times New Roman" w:cs="Times New Roman"/>
        </w:rPr>
        <w:fldChar w:fldCharType="begin"/>
      </w:r>
      <w:r w:rsidR="00347F07">
        <w:rPr>
          <w:rFonts w:ascii="Times New Roman" w:hAnsi="Times New Roman" w:cs="Times New Roman"/>
        </w:rPr>
        <w:instrText xml:space="preserve"> ADDIN ZOTERO_ITEM CSL_CITATION {"citationID":"ry7T009Q","properties":{"formattedCitation":"(Corte IDH, 1998, pp. 169-73)","plainCitation":"(Corte IDH, 1998, pp. 169-73)","dontUpdate":true},"citationItems":[{"id":79,"uris":["http://zotero.org/users/2489424/items/JV5IPMGP"],"uri":["http://zotero.org/users/2489424/items/JV5IPMGP"],"itemData":{"id":79,"type":"legal_case","title":"Caso de la \"Panel Blanca\" (Paniagua Morales y otros). Fondo","author":[{"family":"Corte IDH","given":""}],"issued":{"date-parts":[["1998",3,8]]}},"locator":"169-73"}],"schema":"https://github.com/citation-style-language/schema/raw/master/csl-citation.json"} </w:instrText>
      </w:r>
      <w:r w:rsidR="00C3330D" w:rsidRPr="00347F07">
        <w:rPr>
          <w:rFonts w:ascii="Times New Roman" w:hAnsi="Times New Roman" w:cs="Times New Roman"/>
        </w:rPr>
        <w:fldChar w:fldCharType="separate"/>
      </w:r>
      <w:r w:rsidRPr="00347F07">
        <w:rPr>
          <w:rFonts w:ascii="Times New Roman" w:hAnsi="Times New Roman" w:cs="Times New Roman"/>
        </w:rPr>
        <w:t>(Corte IDH, 1998, párr. 169-73)</w:t>
      </w:r>
      <w:r w:rsidR="00C3330D" w:rsidRPr="00347F07">
        <w:rPr>
          <w:rFonts w:ascii="Times New Roman" w:hAnsi="Times New Roman" w:cs="Times New Roman"/>
        </w:rPr>
        <w:fldChar w:fldCharType="end"/>
      </w:r>
      <w:r w:rsidRPr="00347F07">
        <w:rPr>
          <w:rFonts w:ascii="Times New Roman" w:hAnsi="Times New Roman" w:cs="Times New Roman"/>
        </w:rPr>
        <w:t xml:space="preserve"> La obligación de investigar las violaciones a los derechos humanos va de la mano con la de sancionar a las personas responsables por dichas conductas. Cabe señalarse que esta es una obligación de medio mas no de resultado. </w:t>
      </w:r>
      <w:r w:rsidR="00C3330D" w:rsidRPr="00347F07">
        <w:rPr>
          <w:rFonts w:ascii="Times New Roman" w:hAnsi="Times New Roman" w:cs="Times New Roman"/>
        </w:rPr>
        <w:fldChar w:fldCharType="begin"/>
      </w:r>
      <w:r w:rsidR="00347F07">
        <w:rPr>
          <w:rFonts w:ascii="Times New Roman" w:hAnsi="Times New Roman" w:cs="Times New Roman"/>
        </w:rPr>
        <w:instrText xml:space="preserve"> ADDIN ZOTERO_ITEM CSL_CITATION {"citationID":"1vbdjua2cj","properties":{"formattedCitation":"(Corte IDH, 1989, p. 177)","plainCitation":"(Corte IDH, 1989, p. 177)","dontUpdate":true},"citationItems":[{"id":29,"uris":["http://zotero.org/users/2489424/items/MT429RRI"],"uri":["http://zotero.org/users/2489424/items/MT429RRI"],"itemData":{"id":29,"type":"legal_case","title":"Caso Velásquez Rodríguez Vs. Honduras. Fondo","author":[{"family":"Corte IDH","given":""}],"issued":{"date-parts":[["1989"]],"season":"Sentencia de   de enero de"}},"locator":"177"}],"schema":"https://github.com/citation-style-language/schema/raw/master/csl-citation.json"} </w:instrText>
      </w:r>
      <w:r w:rsidR="00C3330D" w:rsidRPr="00347F07">
        <w:rPr>
          <w:rFonts w:ascii="Times New Roman" w:hAnsi="Times New Roman" w:cs="Times New Roman"/>
        </w:rPr>
        <w:fldChar w:fldCharType="separate"/>
      </w:r>
      <w:r w:rsidRPr="00347F07">
        <w:rPr>
          <w:rFonts w:ascii="Times New Roman" w:hAnsi="Times New Roman" w:cs="Times New Roman"/>
          <w:noProof/>
        </w:rPr>
        <w:t>(Corte IDH, 1989, párr. 177)</w:t>
      </w:r>
      <w:r w:rsidR="00C3330D" w:rsidRPr="00347F07">
        <w:rPr>
          <w:rFonts w:ascii="Times New Roman" w:hAnsi="Times New Roman" w:cs="Times New Roman"/>
        </w:rPr>
        <w:fldChar w:fldCharType="end"/>
      </w:r>
    </w:p>
    <w:p w:rsidR="009F2B47" w:rsidRDefault="009F2B47" w:rsidP="00347F07">
      <w:pPr>
        <w:widowControl w:val="0"/>
        <w:autoSpaceDE w:val="0"/>
        <w:autoSpaceDN w:val="0"/>
        <w:adjustRightInd w:val="0"/>
        <w:spacing w:after="240"/>
        <w:jc w:val="both"/>
        <w:rPr>
          <w:rFonts w:ascii="Times New Roman" w:hAnsi="Times New Roman" w:cs="Times New Roman"/>
        </w:rPr>
      </w:pPr>
      <w:r w:rsidRPr="00347F07">
        <w:rPr>
          <w:rFonts w:ascii="Times New Roman" w:hAnsi="Times New Roman" w:cs="Times New Roman"/>
        </w:rPr>
        <w:t>Una vez que se aclaró el c</w:t>
      </w:r>
      <w:r w:rsidR="00347F07">
        <w:rPr>
          <w:rFonts w:ascii="Times New Roman" w:hAnsi="Times New Roman" w:cs="Times New Roman"/>
        </w:rPr>
        <w:t>ontenido de la obligación</w:t>
      </w:r>
      <w:r w:rsidRPr="00347F07">
        <w:rPr>
          <w:rFonts w:ascii="Times New Roman" w:hAnsi="Times New Roman" w:cs="Times New Roman"/>
        </w:rPr>
        <w:t xml:space="preserve"> de garantía, el Estado será responsable al incurrir en una conducta que no se adecúe a lo que sus obligaciones internacionales requiera</w:t>
      </w:r>
      <w:r w:rsidR="00347F07">
        <w:rPr>
          <w:rFonts w:ascii="Times New Roman" w:hAnsi="Times New Roman" w:cs="Times New Roman"/>
        </w:rPr>
        <w:t>n</w:t>
      </w:r>
      <w:r w:rsidRPr="00347F07">
        <w:rPr>
          <w:rFonts w:ascii="Times New Roman" w:hAnsi="Times New Roman" w:cs="Times New Roman"/>
        </w:rPr>
        <w:t xml:space="preserve">. Si es que se verifica un hecho internacionalmente ilícito, el Estado deberá reparar dicha conducta. El Comité de Derechos Humanos de las Naciones Unidas, en la Observación General No. 31, reafirmó la existencia de esta obligación. </w:t>
      </w:r>
      <w:r w:rsidR="00C3330D" w:rsidRPr="00347F07">
        <w:rPr>
          <w:rFonts w:ascii="Times New Roman" w:hAnsi="Times New Roman" w:cs="Times New Roman"/>
        </w:rPr>
        <w:fldChar w:fldCharType="begin"/>
      </w:r>
      <w:r w:rsidR="00347F07">
        <w:rPr>
          <w:rFonts w:ascii="Times New Roman" w:hAnsi="Times New Roman" w:cs="Times New Roman"/>
        </w:rPr>
        <w:instrText xml:space="preserve"> ADDIN ZOTERO_ITEM CSL_CITATION {"citationID":"9abiPNaC","properties":{"formattedCitation":"{\\rtf (Comit\\uc0\\u233{} de Derechos Humanos, 2004, pp. 16-17)}","plainCitation":"(Comité de Derechos Humanos, 2004, pp. 16-17)","dontUpdate":true},"citationItems":[{"id":73,"uris":["http://zotero.org/users/2489424/items/TFD29IP6"],"uri":["http://zotero.org/users/2489424/items/TFD29IP6"],"itemData":{"id":73,"type":"legal_case","title":"Observación General No. 31, La índole de la obligación jurídica general impuesta","number":"U.N. Doc. HRI/GEN/1/Rev.7 at 225","author":[{"family":"Comité de Derechos Humanos","given":""}],"issued":{"date-parts":[["2004"]]}},"locator":"16-17"}],"schema":"https://github.com/citation-style-language/schema/raw/master/csl-citation.json"} </w:instrText>
      </w:r>
      <w:r w:rsidR="00C3330D" w:rsidRPr="00347F07">
        <w:rPr>
          <w:rFonts w:ascii="Times New Roman" w:hAnsi="Times New Roman" w:cs="Times New Roman"/>
        </w:rPr>
        <w:fldChar w:fldCharType="separate"/>
      </w:r>
      <w:r w:rsidRPr="00347F07">
        <w:rPr>
          <w:rFonts w:ascii="Times New Roman" w:eastAsia="Times New Roman" w:hAnsi="Times New Roman" w:cs="Times New Roman"/>
        </w:rPr>
        <w:t>(Comité de Derechos Humanos, 2004, párr. 16-17)</w:t>
      </w:r>
      <w:r w:rsidR="00C3330D" w:rsidRPr="00347F07">
        <w:rPr>
          <w:rFonts w:ascii="Times New Roman" w:hAnsi="Times New Roman" w:cs="Times New Roman"/>
        </w:rPr>
        <w:fldChar w:fldCharType="end"/>
      </w:r>
      <w:r w:rsidRPr="00347F07">
        <w:rPr>
          <w:rFonts w:ascii="Times New Roman" w:hAnsi="Times New Roman" w:cs="Times New Roman"/>
        </w:rPr>
        <w:t xml:space="preserve"> La obligación de reparar es una consecuencia lógica de la comisión de un hecho internacionalmente ilícito, en este caso, de una violación a los derechos humanos. La clasificación tradicional de las medidas de reparación incluye la </w:t>
      </w:r>
      <w:r w:rsidRPr="00347F07">
        <w:rPr>
          <w:rFonts w:ascii="Times New Roman" w:hAnsi="Times New Roman" w:cs="Times New Roman"/>
          <w:i/>
        </w:rPr>
        <w:t>restitutio in integrum</w:t>
      </w:r>
      <w:r w:rsidRPr="00347F07">
        <w:rPr>
          <w:rFonts w:ascii="Times New Roman" w:hAnsi="Times New Roman" w:cs="Times New Roman"/>
        </w:rPr>
        <w:t xml:space="preserve">, la compensación y la satisfacción. </w:t>
      </w:r>
      <w:r w:rsidR="00C3330D" w:rsidRPr="00347F07">
        <w:rPr>
          <w:rFonts w:ascii="Times New Roman" w:hAnsi="Times New Roman" w:cs="Times New Roman"/>
        </w:rPr>
        <w:fldChar w:fldCharType="begin"/>
      </w:r>
      <w:r w:rsidR="00347F07">
        <w:rPr>
          <w:rFonts w:ascii="Times New Roman" w:hAnsi="Times New Roman" w:cs="Times New Roman"/>
        </w:rPr>
        <w:instrText xml:space="preserve"> ADDIN ZOTERO_ITEM CSL_CITATION {"citationID":"VCjCkGoC","properties":{"formattedCitation":"{\\rtf Francisco Barbosa Delgado, {\\i{}Litigio interamericano. Perspectiva jur\\uc0\\u237{}dica del sistema de protecci\\uc0\\u243{}n de derechos humanos} (Bogot\\uc0\\u225{}: Universidad de Bogot\\uc0\\u225{}, 2002), 248-52; Crawford, {\\i{}State responsibility. The general part}, 481-538.}","plainCitation":"Francisco Barbosa Delgado, Litigio interamericano. Perspectiva jurídica del sistema de protección de derechos humanos (Bogotá: Universidad de Bogotá, 2002), 248-52; Crawford, State responsibility. The general part, 481-538."},"citationItems":[{"id":175,"uris":["http://zotero.org/users/2489424/items/A7WF34KX"],"uri":["http://zotero.org/users/2489424/items/A7WF34KX"],"itemData":{"id":175,"type":"book","title":"Litigio interamericano. Perspectiva jurídica del sistema de protección de derechos humanos","publisher":"Universidad de Bogotá","publisher-place":"Bogotá","event-place":"Bogotá","author":[{"family":"Barbosa Delgado","given":"Francisco"}],"issued":{"date-parts":[["2002"]]}},"locator":"248-252"},{"id":28,"uris":["http://zotero.org/users/2489424/items/DU268NXX"],"uri":["http://zotero.org/users/2489424/items/DU268NXX"],"itemData":{"id":28,"type":"book","title":"State responsibility. The general part","publisher":"Cambridge University Printing House","publisher-place":"Reino Unido","number-of-pages":"825","event-place":"Reino Unido","ISBN":"978-1-107-47778-0","language":"Inglés","author":[{"family":"Crawford","given":"James"}],"issued":{"date-parts":[["2013"]]}},"locator":"481-538"}],"schema":"https://github.com/citation-style-language/schema/raw/master/csl-citation.json"} </w:instrText>
      </w:r>
      <w:r w:rsidR="00C3330D" w:rsidRPr="00347F07">
        <w:rPr>
          <w:rFonts w:ascii="Times New Roman" w:hAnsi="Times New Roman" w:cs="Times New Roman"/>
        </w:rPr>
        <w:fldChar w:fldCharType="separate"/>
      </w:r>
      <w:r w:rsidR="00347F07" w:rsidRPr="00347F07">
        <w:rPr>
          <w:rFonts w:ascii="Times New Roman" w:eastAsia="Times New Roman" w:hAnsi="Times New Roman" w:cs="Times New Roman"/>
        </w:rPr>
        <w:t xml:space="preserve">Francisco Barbosa Delgado, </w:t>
      </w:r>
      <w:r w:rsidR="00347F07" w:rsidRPr="00347F07">
        <w:rPr>
          <w:rFonts w:ascii="Times New Roman" w:eastAsia="Times New Roman" w:hAnsi="Times New Roman" w:cs="Times New Roman"/>
          <w:i/>
          <w:iCs/>
        </w:rPr>
        <w:t>Litigio interamericano. Perspectiva jurídica del sistema de protección de derechos humanos</w:t>
      </w:r>
      <w:r w:rsidR="00347F07" w:rsidRPr="00347F07">
        <w:rPr>
          <w:rFonts w:ascii="Times New Roman" w:eastAsia="Times New Roman" w:hAnsi="Times New Roman" w:cs="Times New Roman"/>
        </w:rPr>
        <w:t xml:space="preserve"> (Bogotá: Universidad de Bogotá, 2002), 248-52; Crawford, </w:t>
      </w:r>
      <w:r w:rsidR="00347F07" w:rsidRPr="00347F07">
        <w:rPr>
          <w:rFonts w:ascii="Times New Roman" w:eastAsia="Times New Roman" w:hAnsi="Times New Roman" w:cs="Times New Roman"/>
          <w:i/>
          <w:iCs/>
        </w:rPr>
        <w:t>State responsibility. The general part</w:t>
      </w:r>
      <w:r w:rsidR="00347F07" w:rsidRPr="00347F07">
        <w:rPr>
          <w:rFonts w:ascii="Times New Roman" w:eastAsia="Times New Roman" w:hAnsi="Times New Roman" w:cs="Times New Roman"/>
        </w:rPr>
        <w:t>, 481-538.</w:t>
      </w:r>
      <w:r w:rsidR="00C3330D" w:rsidRPr="00347F07">
        <w:rPr>
          <w:rFonts w:ascii="Times New Roman" w:hAnsi="Times New Roman" w:cs="Times New Roman"/>
        </w:rPr>
        <w:fldChar w:fldCharType="end"/>
      </w:r>
      <w:r w:rsidRPr="00347F07">
        <w:rPr>
          <w:rFonts w:ascii="Times New Roman" w:hAnsi="Times New Roman" w:cs="Times New Roman"/>
        </w:rPr>
        <w:t xml:space="preserve"> La Corte IDH, en una posición que consideramos apropiada para una mejor protección de los derechos humanos, ha añadido a dichas medias la cesación de la violación y las garantías de no repetición. </w:t>
      </w:r>
      <w:r w:rsidR="00C3330D" w:rsidRPr="00347F07">
        <w:rPr>
          <w:rFonts w:ascii="Times New Roman" w:hAnsi="Times New Roman" w:cs="Times New Roman"/>
        </w:rPr>
        <w:fldChar w:fldCharType="begin"/>
      </w:r>
      <w:r w:rsidR="00347F07">
        <w:rPr>
          <w:rFonts w:ascii="Times New Roman" w:hAnsi="Times New Roman" w:cs="Times New Roman"/>
        </w:rPr>
        <w:instrText xml:space="preserve"> ADDIN ZOTERO_ITEM CSL_CITATION {"citationID":"H6a55Eka","properties":{"formattedCitation":"{\\rtf Mar\\uc0\\u237{}a Helena Carbonell, \\uc0\\u171{}El deber del Estado de reparar las violaciones de derechos humanos\\uc0\\u187{}, {\\i{}C\\uc0\\u225{}lamo Revista de Estudios Jur\\uc0\\u237{}dicos}, julio de 2014, 143-46.}","plainCitation":"María Helena Carbonell, «El deber del Estado de reparar las violaciones de derechos humanos», Cálamo Revista de Estudios Jurídicos, julio de 2014, 143-46."},"citationItems":[{"id":227,"uris":["http://zotero.org/users/2489424/items/987FTXKI"],"uri":["http://zotero.org/users/2489424/items/987FTXKI"],"itemData":{"id":227,"type":"article-magazine","title":"El deber del Estado de reparar las violaciones de derechos humanos","container-title":"Cálamo Revista de Estudios Jurídicos","page":"137-152","volume":"1","author":[{"family":"Carbonell","given":"María Helena"}],"issued":{"date-parts":[["2014",7]]}},"locator":"143-146"}],"schema":"https://github.com/citation-style-language/schema/raw/master/csl-citation.json"} </w:instrText>
      </w:r>
      <w:r w:rsidR="00C3330D" w:rsidRPr="00347F07">
        <w:rPr>
          <w:rFonts w:ascii="Times New Roman" w:hAnsi="Times New Roman" w:cs="Times New Roman"/>
        </w:rPr>
        <w:fldChar w:fldCharType="separate"/>
      </w:r>
      <w:r w:rsidR="00347F07" w:rsidRPr="00347F07">
        <w:rPr>
          <w:rFonts w:ascii="Times New Roman" w:eastAsia="Times New Roman" w:hAnsi="Times New Roman" w:cs="Times New Roman"/>
        </w:rPr>
        <w:t xml:space="preserve">María Helena Carbonell, «El deber del Estado de reparar las violaciones de derechos humanos», </w:t>
      </w:r>
      <w:r w:rsidR="00347F07" w:rsidRPr="00347F07">
        <w:rPr>
          <w:rFonts w:ascii="Times New Roman" w:eastAsia="Times New Roman" w:hAnsi="Times New Roman" w:cs="Times New Roman"/>
          <w:i/>
          <w:iCs/>
        </w:rPr>
        <w:t>Cálamo Revista de Estudios Jurídicos</w:t>
      </w:r>
      <w:r w:rsidR="00347F07" w:rsidRPr="00347F07">
        <w:rPr>
          <w:rFonts w:ascii="Times New Roman" w:eastAsia="Times New Roman" w:hAnsi="Times New Roman" w:cs="Times New Roman"/>
        </w:rPr>
        <w:t>, julio de 2014, 143-46.</w:t>
      </w:r>
      <w:r w:rsidR="00C3330D" w:rsidRPr="00347F07">
        <w:rPr>
          <w:rFonts w:ascii="Times New Roman" w:hAnsi="Times New Roman" w:cs="Times New Roman"/>
        </w:rPr>
        <w:fldChar w:fldCharType="end"/>
      </w:r>
      <w:r w:rsidRPr="00347F07">
        <w:rPr>
          <w:rFonts w:ascii="Times New Roman" w:hAnsi="Times New Roman" w:cs="Times New Roman"/>
        </w:rPr>
        <w:t xml:space="preserve"> Con la adopción de este enfoque más amplio, la Corte busca la reparación integral de las víctimas de violaciones a los derechos humanos. Así, pueden ordenar el llevar a cabo registros de personas desaparecidas o adoptar ciertas políticas públicas y, para hacerlo, el Estado deberá llevar a cabo los estudios pertinentes. </w:t>
      </w:r>
    </w:p>
    <w:p w:rsidR="00415B9D" w:rsidRDefault="00415B9D" w:rsidP="00347F07">
      <w:pPr>
        <w:widowControl w:val="0"/>
        <w:autoSpaceDE w:val="0"/>
        <w:autoSpaceDN w:val="0"/>
        <w:adjustRightInd w:val="0"/>
        <w:spacing w:after="240"/>
        <w:jc w:val="both"/>
        <w:rPr>
          <w:rFonts w:ascii="Times New Roman" w:hAnsi="Times New Roman" w:cs="Times New Roman"/>
        </w:rPr>
      </w:pPr>
    </w:p>
    <w:p w:rsidR="00415B9D" w:rsidRPr="00415B9D" w:rsidRDefault="00415B9D" w:rsidP="00415B9D">
      <w:pPr>
        <w:jc w:val="both"/>
        <w:rPr>
          <w:rFonts w:ascii="Times New Roman" w:eastAsia="Times New Roman" w:hAnsi="Times New Roman" w:cs="Times New Roman"/>
          <w:lang w:eastAsia="es-ES_tradnl"/>
        </w:rPr>
      </w:pPr>
      <w:r>
        <w:rPr>
          <w:rFonts w:ascii="Times New Roman" w:hAnsi="Times New Roman" w:cs="Times New Roman"/>
        </w:rPr>
        <w:t xml:space="preserve">Finalmente, parece </w:t>
      </w:r>
      <w:r>
        <w:rPr>
          <w:rFonts w:ascii="Times New Roman" w:eastAsia="Times New Roman" w:hAnsi="Times New Roman" w:cs="Times New Roman"/>
          <w:lang w:eastAsia="es-ES_tradnl"/>
        </w:rPr>
        <w:t>útil revisar el Cuadro 2 elaborado por Serrano</w:t>
      </w:r>
      <w:r w:rsidR="0013537D">
        <w:rPr>
          <w:rStyle w:val="Refdenotaalpie"/>
          <w:rFonts w:ascii="Times New Roman" w:eastAsia="Times New Roman" w:hAnsi="Times New Roman" w:cs="Times New Roman"/>
          <w:lang w:eastAsia="es-ES_tradnl"/>
        </w:rPr>
        <w:footnoteReference w:id="3"/>
      </w:r>
      <w:r>
        <w:rPr>
          <w:rFonts w:ascii="Times New Roman" w:eastAsia="Times New Roman" w:hAnsi="Times New Roman" w:cs="Times New Roman"/>
          <w:lang w:eastAsia="es-ES_tradnl"/>
        </w:rPr>
        <w:t xml:space="preserve">. </w:t>
      </w:r>
      <w:r w:rsidRPr="00415B9D">
        <w:rPr>
          <w:rFonts w:ascii="Times New Roman" w:eastAsia="Times New Roman" w:hAnsi="Times New Roman" w:cs="Times New Roman"/>
          <w:lang w:eastAsia="es-ES_tradnl"/>
        </w:rPr>
        <w:t>Este cuadro se presenta un resumen en cuanto a las obligaciones de los derechos humanos</w:t>
      </w:r>
      <w:bookmarkStart w:id="0" w:name="_GoBack"/>
      <w:bookmarkEnd w:id="0"/>
      <w:r w:rsidRPr="00415B9D">
        <w:rPr>
          <w:rFonts w:ascii="Times New Roman" w:eastAsia="Times New Roman" w:hAnsi="Times New Roman" w:cs="Times New Roman"/>
          <w:lang w:eastAsia="es-ES_tradnl"/>
        </w:rPr>
        <w:t xml:space="preserve"> desde otra óptica</w:t>
      </w:r>
      <w:r>
        <w:rPr>
          <w:rFonts w:ascii="Times New Roman" w:eastAsia="Times New Roman" w:hAnsi="Times New Roman" w:cs="Times New Roman"/>
          <w:lang w:eastAsia="es-ES_tradnl"/>
        </w:rPr>
        <w:t>:</w:t>
      </w:r>
    </w:p>
    <w:p w:rsidR="00415B9D" w:rsidRPr="00415B9D" w:rsidRDefault="00415B9D" w:rsidP="00415B9D">
      <w:pPr>
        <w:jc w:val="both"/>
        <w:rPr>
          <w:rFonts w:ascii="Times New Roman" w:eastAsia="Times New Roman" w:hAnsi="Times New Roman" w:cs="Times New Roman"/>
          <w:b/>
          <w:lang w:eastAsia="es-ES_tradnl"/>
        </w:rPr>
      </w:pPr>
    </w:p>
    <w:tbl>
      <w:tblPr>
        <w:tblStyle w:val="Tablaconcuadrcula"/>
        <w:tblW w:w="0" w:type="auto"/>
        <w:tblLook w:val="04A0"/>
      </w:tblPr>
      <w:tblGrid>
        <w:gridCol w:w="1675"/>
        <w:gridCol w:w="1326"/>
        <w:gridCol w:w="1370"/>
        <w:gridCol w:w="1456"/>
        <w:gridCol w:w="1315"/>
        <w:gridCol w:w="1346"/>
      </w:tblGrid>
      <w:tr w:rsidR="00F34911" w:rsidTr="00F34911">
        <w:tc>
          <w:tcPr>
            <w:tcW w:w="8488" w:type="dxa"/>
            <w:gridSpan w:val="6"/>
            <w:shd w:val="clear" w:color="auto" w:fill="E7E6E6" w:themeFill="background2"/>
          </w:tcPr>
          <w:p w:rsidR="00F34911" w:rsidRDefault="00F34911" w:rsidP="00F34911">
            <w:pPr>
              <w:jc w:val="center"/>
            </w:pPr>
            <w:r>
              <w:t>TIPOLOGIA DE LAS OBLIGACIONES DEL DIDH</w:t>
            </w:r>
          </w:p>
        </w:tc>
      </w:tr>
      <w:tr w:rsidR="00F34911" w:rsidTr="00F34911">
        <w:tc>
          <w:tcPr>
            <w:tcW w:w="1675" w:type="dxa"/>
            <w:shd w:val="clear" w:color="auto" w:fill="E7E6E6" w:themeFill="background2"/>
          </w:tcPr>
          <w:p w:rsidR="00F34911" w:rsidRDefault="00F34911" w:rsidP="00F34911">
            <w:pPr>
              <w:jc w:val="center"/>
            </w:pPr>
            <w:r>
              <w:t>PROPUESTA DE</w:t>
            </w:r>
          </w:p>
        </w:tc>
        <w:tc>
          <w:tcPr>
            <w:tcW w:w="6813" w:type="dxa"/>
            <w:gridSpan w:val="5"/>
            <w:shd w:val="clear" w:color="auto" w:fill="E7E6E6" w:themeFill="background2"/>
          </w:tcPr>
          <w:p w:rsidR="00F34911" w:rsidRDefault="00F34911" w:rsidP="00F34911">
            <w:pPr>
              <w:jc w:val="center"/>
            </w:pPr>
            <w:r>
              <w:t>DEBERES DE</w:t>
            </w:r>
          </w:p>
        </w:tc>
      </w:tr>
      <w:tr w:rsidR="00F34911" w:rsidTr="0094525B">
        <w:tc>
          <w:tcPr>
            <w:tcW w:w="1675" w:type="dxa"/>
          </w:tcPr>
          <w:p w:rsidR="00F34911" w:rsidRDefault="00F34911" w:rsidP="0094525B">
            <w:r>
              <w:t>Shue</w:t>
            </w:r>
          </w:p>
        </w:tc>
        <w:tc>
          <w:tcPr>
            <w:tcW w:w="1326" w:type="dxa"/>
          </w:tcPr>
          <w:p w:rsidR="00F34911" w:rsidRDefault="00F34911" w:rsidP="0094525B">
            <w:r>
              <w:t>No privación</w:t>
            </w:r>
          </w:p>
        </w:tc>
        <w:tc>
          <w:tcPr>
            <w:tcW w:w="1370" w:type="dxa"/>
          </w:tcPr>
          <w:p w:rsidR="00F34911" w:rsidRDefault="00F34911" w:rsidP="0094525B">
            <w:r>
              <w:t>Protección de la privación</w:t>
            </w:r>
          </w:p>
        </w:tc>
        <w:tc>
          <w:tcPr>
            <w:tcW w:w="4117" w:type="dxa"/>
            <w:gridSpan w:val="3"/>
          </w:tcPr>
          <w:p w:rsidR="00F34911" w:rsidRDefault="00F34911" w:rsidP="0094525B">
            <w:r>
              <w:t>Ayudar a los que están privados de bienes básicos</w:t>
            </w:r>
          </w:p>
        </w:tc>
      </w:tr>
      <w:tr w:rsidR="00F34911" w:rsidTr="0094525B">
        <w:tc>
          <w:tcPr>
            <w:tcW w:w="1675" w:type="dxa"/>
          </w:tcPr>
          <w:p w:rsidR="00F34911" w:rsidRDefault="00F34911" w:rsidP="0094525B">
            <w:r>
              <w:lastRenderedPageBreak/>
              <w:t>Van Hoof</w:t>
            </w:r>
          </w:p>
        </w:tc>
        <w:tc>
          <w:tcPr>
            <w:tcW w:w="1326" w:type="dxa"/>
          </w:tcPr>
          <w:p w:rsidR="00F34911" w:rsidRDefault="00F34911" w:rsidP="0094525B">
            <w:r>
              <w:t>Respetar</w:t>
            </w:r>
          </w:p>
        </w:tc>
        <w:tc>
          <w:tcPr>
            <w:tcW w:w="1370" w:type="dxa"/>
          </w:tcPr>
          <w:p w:rsidR="00F34911" w:rsidRDefault="00F34911" w:rsidP="0094525B">
            <w:r>
              <w:t>proteger</w:t>
            </w:r>
          </w:p>
        </w:tc>
        <w:tc>
          <w:tcPr>
            <w:tcW w:w="2771" w:type="dxa"/>
            <w:gridSpan w:val="2"/>
          </w:tcPr>
          <w:p w:rsidR="00F34911" w:rsidRDefault="00F34911" w:rsidP="0094525B">
            <w:r>
              <w:t>asegurar</w:t>
            </w:r>
          </w:p>
        </w:tc>
        <w:tc>
          <w:tcPr>
            <w:tcW w:w="1346" w:type="dxa"/>
          </w:tcPr>
          <w:p w:rsidR="00F34911" w:rsidRDefault="00F34911" w:rsidP="0094525B">
            <w:r>
              <w:t>Promover</w:t>
            </w:r>
          </w:p>
        </w:tc>
      </w:tr>
      <w:tr w:rsidR="00F34911" w:rsidTr="0094525B">
        <w:tc>
          <w:tcPr>
            <w:tcW w:w="1675" w:type="dxa"/>
          </w:tcPr>
          <w:p w:rsidR="00F34911" w:rsidRDefault="00F34911" w:rsidP="0094525B">
            <w:r>
              <w:t>Steiner y Alston</w:t>
            </w:r>
          </w:p>
        </w:tc>
        <w:tc>
          <w:tcPr>
            <w:tcW w:w="1326" w:type="dxa"/>
          </w:tcPr>
          <w:p w:rsidR="00F34911" w:rsidRDefault="00F34911" w:rsidP="0094525B">
            <w:r>
              <w:t>Respetar</w:t>
            </w:r>
          </w:p>
        </w:tc>
        <w:tc>
          <w:tcPr>
            <w:tcW w:w="1370" w:type="dxa"/>
          </w:tcPr>
          <w:p w:rsidR="00F34911" w:rsidRDefault="00F34911" w:rsidP="0094525B">
            <w:r>
              <w:t>Proteger / prevenir</w:t>
            </w:r>
          </w:p>
        </w:tc>
        <w:tc>
          <w:tcPr>
            <w:tcW w:w="1456" w:type="dxa"/>
          </w:tcPr>
          <w:p w:rsidR="00F34911" w:rsidRDefault="00F34911" w:rsidP="0094525B">
            <w:r>
              <w:t>Crear maquinaria institucional</w:t>
            </w:r>
          </w:p>
        </w:tc>
        <w:tc>
          <w:tcPr>
            <w:tcW w:w="1315" w:type="dxa"/>
          </w:tcPr>
          <w:p w:rsidR="00F34911" w:rsidRDefault="00F34911" w:rsidP="0094525B">
            <w:r>
              <w:t>Proveer bienes y servicios</w:t>
            </w:r>
          </w:p>
        </w:tc>
        <w:tc>
          <w:tcPr>
            <w:tcW w:w="1346" w:type="dxa"/>
          </w:tcPr>
          <w:p w:rsidR="00F34911" w:rsidRDefault="00F34911" w:rsidP="0094525B">
            <w:r>
              <w:t>Promover</w:t>
            </w:r>
          </w:p>
        </w:tc>
      </w:tr>
      <w:tr w:rsidR="00F34911" w:rsidTr="0094525B">
        <w:tc>
          <w:tcPr>
            <w:tcW w:w="1675" w:type="dxa"/>
            <w:vMerge w:val="restart"/>
          </w:tcPr>
          <w:p w:rsidR="00F34911" w:rsidRDefault="00F34911" w:rsidP="0094525B">
            <w:r>
              <w:t>Comité DESC</w:t>
            </w:r>
          </w:p>
        </w:tc>
        <w:tc>
          <w:tcPr>
            <w:tcW w:w="1326" w:type="dxa"/>
            <w:vMerge w:val="restart"/>
          </w:tcPr>
          <w:p w:rsidR="00F34911" w:rsidRDefault="00F34911" w:rsidP="0094525B">
            <w:r>
              <w:t>respetar</w:t>
            </w:r>
          </w:p>
        </w:tc>
        <w:tc>
          <w:tcPr>
            <w:tcW w:w="1370" w:type="dxa"/>
            <w:vMerge w:val="restart"/>
          </w:tcPr>
          <w:p w:rsidR="00F34911" w:rsidRDefault="00F34911" w:rsidP="0094525B">
            <w:r>
              <w:t>proteger</w:t>
            </w:r>
          </w:p>
        </w:tc>
        <w:tc>
          <w:tcPr>
            <w:tcW w:w="4117" w:type="dxa"/>
            <w:gridSpan w:val="3"/>
          </w:tcPr>
          <w:p w:rsidR="00F34911" w:rsidRDefault="00F34911" w:rsidP="0094525B">
            <w:r>
              <w:t>cumplir</w:t>
            </w:r>
          </w:p>
        </w:tc>
      </w:tr>
      <w:tr w:rsidR="00F34911" w:rsidTr="0094525B">
        <w:tc>
          <w:tcPr>
            <w:tcW w:w="1675" w:type="dxa"/>
            <w:vMerge/>
          </w:tcPr>
          <w:p w:rsidR="00F34911" w:rsidRDefault="00F34911" w:rsidP="0094525B"/>
        </w:tc>
        <w:tc>
          <w:tcPr>
            <w:tcW w:w="1326" w:type="dxa"/>
            <w:vMerge/>
          </w:tcPr>
          <w:p w:rsidR="00F34911" w:rsidRDefault="00F34911" w:rsidP="0094525B"/>
        </w:tc>
        <w:tc>
          <w:tcPr>
            <w:tcW w:w="1370" w:type="dxa"/>
            <w:vMerge/>
          </w:tcPr>
          <w:p w:rsidR="00F34911" w:rsidRDefault="00F34911" w:rsidP="0094525B"/>
        </w:tc>
        <w:tc>
          <w:tcPr>
            <w:tcW w:w="1456" w:type="dxa"/>
          </w:tcPr>
          <w:p w:rsidR="00F34911" w:rsidRDefault="00F34911" w:rsidP="0094525B">
            <w:r>
              <w:t>satisfacer</w:t>
            </w:r>
          </w:p>
        </w:tc>
        <w:tc>
          <w:tcPr>
            <w:tcW w:w="1315" w:type="dxa"/>
          </w:tcPr>
          <w:p w:rsidR="00F34911" w:rsidRDefault="00F34911" w:rsidP="0094525B">
            <w:r>
              <w:t>proveer</w:t>
            </w:r>
          </w:p>
        </w:tc>
        <w:tc>
          <w:tcPr>
            <w:tcW w:w="1346" w:type="dxa"/>
          </w:tcPr>
          <w:p w:rsidR="00F34911" w:rsidRDefault="00F34911" w:rsidP="0094525B">
            <w:r>
              <w:t>Promover</w:t>
            </w:r>
          </w:p>
        </w:tc>
      </w:tr>
      <w:tr w:rsidR="00F34911" w:rsidTr="0094525B">
        <w:trPr>
          <w:trHeight w:val="264"/>
        </w:trPr>
        <w:tc>
          <w:tcPr>
            <w:tcW w:w="1675" w:type="dxa"/>
            <w:vMerge w:val="restart"/>
          </w:tcPr>
          <w:p w:rsidR="00F34911" w:rsidRDefault="00F34911" w:rsidP="0094525B">
            <w:r>
              <w:t>Comité DH</w:t>
            </w:r>
          </w:p>
        </w:tc>
        <w:tc>
          <w:tcPr>
            <w:tcW w:w="1326" w:type="dxa"/>
            <w:vMerge w:val="restart"/>
          </w:tcPr>
          <w:p w:rsidR="00F34911" w:rsidRDefault="00F34911" w:rsidP="0094525B">
            <w:r>
              <w:t>respetar</w:t>
            </w:r>
          </w:p>
        </w:tc>
        <w:tc>
          <w:tcPr>
            <w:tcW w:w="5487" w:type="dxa"/>
            <w:gridSpan w:val="4"/>
          </w:tcPr>
          <w:p w:rsidR="00F34911" w:rsidRDefault="00F34911" w:rsidP="0094525B">
            <w:r>
              <w:t>Garantizar y adoptar medidas</w:t>
            </w:r>
          </w:p>
        </w:tc>
      </w:tr>
      <w:tr w:rsidR="00F34911" w:rsidTr="0094525B">
        <w:trPr>
          <w:trHeight w:val="264"/>
        </w:trPr>
        <w:tc>
          <w:tcPr>
            <w:tcW w:w="1675" w:type="dxa"/>
            <w:vMerge/>
          </w:tcPr>
          <w:p w:rsidR="00F34911" w:rsidRDefault="00F34911" w:rsidP="0094525B"/>
        </w:tc>
        <w:tc>
          <w:tcPr>
            <w:tcW w:w="1326" w:type="dxa"/>
            <w:vMerge/>
          </w:tcPr>
          <w:p w:rsidR="00F34911" w:rsidRDefault="00F34911" w:rsidP="0094525B"/>
        </w:tc>
        <w:tc>
          <w:tcPr>
            <w:tcW w:w="1370" w:type="dxa"/>
          </w:tcPr>
          <w:p w:rsidR="00F34911" w:rsidRDefault="00F34911" w:rsidP="0094525B">
            <w:r>
              <w:t>proteger</w:t>
            </w:r>
          </w:p>
        </w:tc>
        <w:tc>
          <w:tcPr>
            <w:tcW w:w="1456" w:type="dxa"/>
          </w:tcPr>
          <w:p w:rsidR="00F34911" w:rsidRDefault="00F34911" w:rsidP="0094525B">
            <w:r>
              <w:t>asegurar</w:t>
            </w:r>
          </w:p>
        </w:tc>
        <w:tc>
          <w:tcPr>
            <w:tcW w:w="1315" w:type="dxa"/>
          </w:tcPr>
          <w:p w:rsidR="00F34911" w:rsidRDefault="00F34911" w:rsidP="0094525B">
            <w:r>
              <w:t>promover</w:t>
            </w:r>
          </w:p>
        </w:tc>
        <w:tc>
          <w:tcPr>
            <w:tcW w:w="1346" w:type="dxa"/>
          </w:tcPr>
          <w:p w:rsidR="00F34911" w:rsidRDefault="00F34911" w:rsidP="0094525B"/>
        </w:tc>
      </w:tr>
      <w:tr w:rsidR="00F34911" w:rsidTr="0094525B">
        <w:trPr>
          <w:trHeight w:val="264"/>
        </w:trPr>
        <w:tc>
          <w:tcPr>
            <w:tcW w:w="1675" w:type="dxa"/>
            <w:vMerge w:val="restart"/>
          </w:tcPr>
          <w:p w:rsidR="00F34911" w:rsidRDefault="00F34911" w:rsidP="0094525B">
            <w:r>
              <w:t>Corte IDH</w:t>
            </w:r>
          </w:p>
        </w:tc>
        <w:tc>
          <w:tcPr>
            <w:tcW w:w="1326" w:type="dxa"/>
            <w:vMerge w:val="restart"/>
          </w:tcPr>
          <w:p w:rsidR="00F34911" w:rsidRDefault="00F34911" w:rsidP="0094525B">
            <w:r>
              <w:t>respetar</w:t>
            </w:r>
          </w:p>
        </w:tc>
        <w:tc>
          <w:tcPr>
            <w:tcW w:w="5487" w:type="dxa"/>
            <w:gridSpan w:val="4"/>
          </w:tcPr>
          <w:p w:rsidR="00F34911" w:rsidRDefault="00F34911" w:rsidP="0094525B">
            <w:r>
              <w:t>Garantizar y adoptar medidas</w:t>
            </w:r>
          </w:p>
        </w:tc>
      </w:tr>
      <w:tr w:rsidR="00F34911" w:rsidTr="0094525B">
        <w:trPr>
          <w:trHeight w:val="264"/>
        </w:trPr>
        <w:tc>
          <w:tcPr>
            <w:tcW w:w="1675" w:type="dxa"/>
            <w:vMerge/>
          </w:tcPr>
          <w:p w:rsidR="00F34911" w:rsidRDefault="00F34911" w:rsidP="0094525B"/>
        </w:tc>
        <w:tc>
          <w:tcPr>
            <w:tcW w:w="1326" w:type="dxa"/>
            <w:vMerge/>
          </w:tcPr>
          <w:p w:rsidR="00F34911" w:rsidRDefault="00F34911" w:rsidP="0094525B"/>
        </w:tc>
        <w:tc>
          <w:tcPr>
            <w:tcW w:w="1370" w:type="dxa"/>
          </w:tcPr>
          <w:p w:rsidR="00F34911" w:rsidRDefault="00F34911" w:rsidP="0094525B">
            <w:r>
              <w:t>proteger</w:t>
            </w:r>
          </w:p>
        </w:tc>
        <w:tc>
          <w:tcPr>
            <w:tcW w:w="2771" w:type="dxa"/>
            <w:gridSpan w:val="2"/>
          </w:tcPr>
          <w:p w:rsidR="00F34911" w:rsidRDefault="00F34911" w:rsidP="0094525B">
            <w:r>
              <w:t>Crear instituciones e investigar, sancionar y reparar</w:t>
            </w:r>
          </w:p>
        </w:tc>
        <w:tc>
          <w:tcPr>
            <w:tcW w:w="1346" w:type="dxa"/>
          </w:tcPr>
          <w:p w:rsidR="00F34911" w:rsidRDefault="00F34911" w:rsidP="0094525B">
            <w:r>
              <w:t>promover</w:t>
            </w:r>
          </w:p>
        </w:tc>
      </w:tr>
    </w:tbl>
    <w:p w:rsidR="00415B9D" w:rsidRDefault="00415B9D" w:rsidP="00415B9D">
      <w:pPr>
        <w:jc w:val="both"/>
        <w:rPr>
          <w:rFonts w:ascii="Times New Roman" w:eastAsia="Times New Roman" w:hAnsi="Times New Roman" w:cs="Times New Roman"/>
          <w:lang w:eastAsia="es-ES_tradnl"/>
        </w:rPr>
      </w:pPr>
    </w:p>
    <w:p w:rsidR="00F34911" w:rsidRPr="00415B9D" w:rsidRDefault="00F34911" w:rsidP="00415B9D">
      <w:pPr>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Cuadro 2: diferentes teorías relativas a las obligaciones de los derechos humanos</w:t>
      </w:r>
    </w:p>
    <w:p w:rsidR="00415B9D" w:rsidRDefault="00415B9D" w:rsidP="00415B9D">
      <w:pPr>
        <w:jc w:val="both"/>
      </w:pPr>
    </w:p>
    <w:p w:rsidR="00415B9D" w:rsidRDefault="00415B9D" w:rsidP="00415B9D">
      <w:pPr>
        <w:jc w:val="both"/>
      </w:pPr>
    </w:p>
    <w:p w:rsidR="00415B9D" w:rsidRDefault="00415B9D" w:rsidP="00415B9D">
      <w:pPr>
        <w:jc w:val="both"/>
      </w:pPr>
    </w:p>
    <w:p w:rsidR="00415B9D" w:rsidRPr="00347F07" w:rsidRDefault="00415B9D" w:rsidP="00347F07">
      <w:pPr>
        <w:widowControl w:val="0"/>
        <w:autoSpaceDE w:val="0"/>
        <w:autoSpaceDN w:val="0"/>
        <w:adjustRightInd w:val="0"/>
        <w:spacing w:after="240"/>
        <w:jc w:val="both"/>
        <w:rPr>
          <w:rFonts w:ascii="Times New Roman" w:hAnsi="Times New Roman" w:cs="Times New Roman"/>
        </w:rPr>
      </w:pPr>
    </w:p>
    <w:p w:rsidR="009F2B47" w:rsidRPr="00347F07" w:rsidRDefault="009F2B47" w:rsidP="00347F07">
      <w:pPr>
        <w:jc w:val="both"/>
        <w:rPr>
          <w:rFonts w:ascii="Times New Roman" w:hAnsi="Times New Roman" w:cs="Times New Roman"/>
        </w:rPr>
      </w:pPr>
    </w:p>
    <w:sectPr w:rsidR="009F2B47" w:rsidRPr="00347F07" w:rsidSect="006F0F67">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88F" w:rsidRDefault="00A0488F" w:rsidP="00347F07">
      <w:r>
        <w:separator/>
      </w:r>
    </w:p>
  </w:endnote>
  <w:endnote w:type="continuationSeparator" w:id="1">
    <w:p w:rsidR="00A0488F" w:rsidRDefault="00A0488F" w:rsidP="00347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88F" w:rsidRDefault="00A0488F" w:rsidP="00347F07">
      <w:r>
        <w:separator/>
      </w:r>
    </w:p>
  </w:footnote>
  <w:footnote w:type="continuationSeparator" w:id="1">
    <w:p w:rsidR="00A0488F" w:rsidRDefault="00A0488F" w:rsidP="00347F07">
      <w:r>
        <w:continuationSeparator/>
      </w:r>
    </w:p>
  </w:footnote>
  <w:footnote w:id="2">
    <w:p w:rsidR="00347F07" w:rsidRPr="00347F07" w:rsidRDefault="00347F07">
      <w:pPr>
        <w:pStyle w:val="Textonotapie"/>
      </w:pPr>
      <w:r>
        <w:rPr>
          <w:rStyle w:val="Refdenotaalpie"/>
        </w:rPr>
        <w:footnoteRef/>
      </w:r>
      <w:r w:rsidR="00C3330D">
        <w:fldChar w:fldCharType="begin"/>
      </w:r>
      <w:r>
        <w:instrText xml:space="preserve"> ADDIN ZOTERO_ITEM CSL_CITATION {"citationID":"wN8uHw24","properties":{"formattedCitation":"{\\rtf Mar\\uc0\\u237{}a Helena Carbonell, \\uc0\\u171{}Est\\uc0\\u225{}ndares internacionales para la administraci\\uc0\\u243{}n de justicia. An\\uc0\\u225{}lisis del caso conocido como Fybeca\\uc0\\u187{}, {\\i{}C\\uc0\\u225{}lamo}, n.\\super o\\nosupersub{} II (diciembre de 2014): 75-91.}","plainCitation":"María Helena Carbonell, «Estándares internacionales para la administración de justicia. Análisis del caso conocido como Fybeca», Cálamo, n.o II (diciembre de 2014): 75-91."},"citationItems":[{"id":164,"uris":["http://zotero.org/users/2489424/items/7Q8NQFF4"],"uri":["http://zotero.org/users/2489424/items/7Q8NQFF4"],"itemData":{"id":164,"type":"article-journal","title":"Estándares internacionales para la administración de justicia. Análisis del caso conocido como Fybeca","container-title":"Cálamo","page":"75-91","issue":"II","author":[{"family":"Carbonell","given":"María Helena"}],"issued":{"date-parts":[["2014"]],"season":"diciembre"}}}],"schema":"https://github.com/citation-style-language/schema/raw/master/csl-citation.json"} </w:instrText>
      </w:r>
      <w:r w:rsidR="00C3330D">
        <w:fldChar w:fldCharType="separate"/>
      </w:r>
      <w:r w:rsidRPr="00347F07">
        <w:rPr>
          <w:rFonts w:ascii="Calibri" w:eastAsia="Times New Roman" w:cs="Times New Roman"/>
        </w:rPr>
        <w:t xml:space="preserve">María Helena Carbonell, «Estándares internacionales para la administración de justicia. Análisis del caso conocido como Fybeca», </w:t>
      </w:r>
      <w:r w:rsidRPr="00347F07">
        <w:rPr>
          <w:rFonts w:ascii="Calibri" w:eastAsia="Times New Roman" w:cs="Times New Roman"/>
          <w:i/>
          <w:iCs/>
        </w:rPr>
        <w:t>Cálamo</w:t>
      </w:r>
      <w:r w:rsidRPr="00347F07">
        <w:rPr>
          <w:rFonts w:ascii="Calibri" w:eastAsia="Times New Roman" w:cs="Times New Roman"/>
        </w:rPr>
        <w:t>, n.</w:t>
      </w:r>
      <w:r w:rsidRPr="00347F07">
        <w:rPr>
          <w:rFonts w:ascii="Calibri" w:eastAsia="Times New Roman" w:cs="Times New Roman"/>
          <w:vertAlign w:val="superscript"/>
        </w:rPr>
        <w:t>o</w:t>
      </w:r>
      <w:r w:rsidRPr="00347F07">
        <w:rPr>
          <w:rFonts w:ascii="Calibri" w:eastAsia="Times New Roman" w:cs="Times New Roman"/>
        </w:rPr>
        <w:t xml:space="preserve"> II (diciembre de 2014): 75-91.</w:t>
      </w:r>
      <w:r w:rsidR="00C3330D">
        <w:fldChar w:fldCharType="end"/>
      </w:r>
    </w:p>
  </w:footnote>
  <w:footnote w:id="3">
    <w:p w:rsidR="0013537D" w:rsidRPr="0013537D" w:rsidRDefault="0013537D">
      <w:pPr>
        <w:pStyle w:val="Textonotapie"/>
      </w:pPr>
      <w:r>
        <w:rPr>
          <w:rStyle w:val="Refdenotaalpie"/>
        </w:rPr>
        <w:footnoteRef/>
      </w:r>
      <w:r w:rsidR="00C3330D">
        <w:fldChar w:fldCharType="begin"/>
      </w:r>
      <w:r>
        <w:instrText xml:space="preserve"> ADDIN ZOTERO_ITEM CSL_CITATION {"citationID":"wmjokka7","properties":{"formattedCitation":"{\\rtf Sandra, \\uc0\\u171{}Obligaciones del Estado frente a los derechos humanos y sus principios rectores: una relaci\\uc0\\u243{}n para la interpretaci\\uc0\\u243{}n y aplicaci\\uc0\\u243{}n de los derechos\\uc0\\u187{}, en {\\i{}Derechos humanos en la Constituci\\uc0\\u243{}n: comentarios en jurisprudencia constitucional e interamericana} (M\\uc0\\u233{}xico: FKAS/UNAM/IIJ de la Suprema Corte de la Naci\\uc0\\u243{}n, 2013), 105.}","plainCitation":"Sandra, «Obligaciones del Estado frente a los derechos humanos y sus principios rectores: una relación para la interpretación y aplicación de los derechos», en Derechos humanos en la Constitución: comentarios en jurisprudencia constitucional e interamericana (México: FKAS/UNAM/IIJ de la Suprema Corte de la Nación, 2013), 105."},"citationItems":[{"id":641,"uris":["http://zotero.org/users/2489424/items/CCNX3R8F"],"uri":["http://zotero.org/users/2489424/items/CCNX3R8F"],"itemData":{"id":641,"type":"chapter","title":"Obligaciones del Estado frente a los derechos humanos y sus principios rectores: una relación para la interpretación y aplicación de los derechos","container-title":"Derechos humanos en la Constitución: comentarios en jurisprudencia constitucional e interamericana","publisher":"FKAS/UNAM/IIJ de la Suprema Corte de la Nación","publisher-place":"México","event-place":"México","author":[{"family":"Sandra","given":""}],"issued":{"date-parts":[["2013"]]}},"locator":"105"}],"schema":"https://github.com/citation-style-language/schema/raw/master/csl-citation.json"} </w:instrText>
      </w:r>
      <w:r w:rsidR="00C3330D">
        <w:fldChar w:fldCharType="separate"/>
      </w:r>
      <w:r w:rsidRPr="0013537D">
        <w:rPr>
          <w:rFonts w:ascii="Calibri" w:eastAsia="Times New Roman" w:cs="Times New Roman"/>
        </w:rPr>
        <w:t xml:space="preserve">Sandra, «Obligaciones del Estado frente a los derechos humanos y sus principios rectores: una relación para la interpretación y aplicación de los derechos», en </w:t>
      </w:r>
      <w:r w:rsidRPr="0013537D">
        <w:rPr>
          <w:rFonts w:ascii="Calibri" w:eastAsia="Times New Roman" w:cs="Times New Roman"/>
          <w:i/>
          <w:iCs/>
        </w:rPr>
        <w:t>Derechos humanos en la Constitución: comentarios en jurisprudencia constitucional e interamericana</w:t>
      </w:r>
      <w:r w:rsidRPr="0013537D">
        <w:rPr>
          <w:rFonts w:ascii="Calibri" w:eastAsia="Times New Roman" w:cs="Times New Roman"/>
        </w:rPr>
        <w:t xml:space="preserve"> (México: FKAS/UNAM/IIJ de la Suprema Corte de la Nación, 2013), 105.</w:t>
      </w:r>
      <w:r w:rsidR="00C3330D">
        <w:fldChar w:fldCharType="end"/>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7C55"/>
    <w:multiLevelType w:val="hybridMultilevel"/>
    <w:tmpl w:val="AF144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E6296A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5B1270"/>
    <w:rsid w:val="0013537D"/>
    <w:rsid w:val="00204AF5"/>
    <w:rsid w:val="002C0419"/>
    <w:rsid w:val="00347F07"/>
    <w:rsid w:val="003E001D"/>
    <w:rsid w:val="00415B9D"/>
    <w:rsid w:val="005B1270"/>
    <w:rsid w:val="006F0F67"/>
    <w:rsid w:val="00992070"/>
    <w:rsid w:val="009F2B47"/>
    <w:rsid w:val="00A0488F"/>
    <w:rsid w:val="00A965E8"/>
    <w:rsid w:val="00C3330D"/>
    <w:rsid w:val="00F34911"/>
    <w:rsid w:val="00FB622E"/>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30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B1270"/>
    <w:rPr>
      <w:rFonts w:eastAsiaTheme="minorEastAsia"/>
      <w:lang w:val="en-US"/>
    </w:rPr>
  </w:style>
  <w:style w:type="paragraph" w:styleId="Prrafodelista">
    <w:name w:val="List Paragraph"/>
    <w:basedOn w:val="Normal"/>
    <w:uiPriority w:val="34"/>
    <w:qFormat/>
    <w:rsid w:val="009F2B47"/>
    <w:pPr>
      <w:spacing w:line="360" w:lineRule="auto"/>
      <w:ind w:left="720" w:firstLine="680"/>
      <w:contextualSpacing/>
      <w:jc w:val="both"/>
    </w:pPr>
    <w:rPr>
      <w:rFonts w:ascii="Times New Roman" w:eastAsiaTheme="minorEastAsia" w:hAnsi="Times New Roman"/>
      <w:lang w:val="es-ES" w:eastAsia="es-ES"/>
    </w:rPr>
  </w:style>
  <w:style w:type="paragraph" w:styleId="Textonotapie">
    <w:name w:val="footnote text"/>
    <w:basedOn w:val="Normal"/>
    <w:link w:val="TextonotapieCar"/>
    <w:uiPriority w:val="99"/>
    <w:unhideWhenUsed/>
    <w:rsid w:val="00347F07"/>
  </w:style>
  <w:style w:type="character" w:customStyle="1" w:styleId="TextonotapieCar">
    <w:name w:val="Texto nota pie Car"/>
    <w:basedOn w:val="Fuentedeprrafopredeter"/>
    <w:link w:val="Textonotapie"/>
    <w:uiPriority w:val="99"/>
    <w:rsid w:val="00347F07"/>
  </w:style>
  <w:style w:type="character" w:styleId="Refdenotaalpie">
    <w:name w:val="footnote reference"/>
    <w:basedOn w:val="Fuentedeprrafopredeter"/>
    <w:uiPriority w:val="99"/>
    <w:unhideWhenUsed/>
    <w:rsid w:val="00347F07"/>
    <w:rPr>
      <w:vertAlign w:val="superscript"/>
    </w:rPr>
  </w:style>
  <w:style w:type="table" w:styleId="Tablaconcuadrcula">
    <w:name w:val="Table Grid"/>
    <w:basedOn w:val="Tablanormal"/>
    <w:uiPriority w:val="39"/>
    <w:rsid w:val="00415B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5422721">
      <w:bodyDiv w:val="1"/>
      <w:marLeft w:val="0"/>
      <w:marRight w:val="0"/>
      <w:marTop w:val="0"/>
      <w:marBottom w:val="0"/>
      <w:divBdr>
        <w:top w:val="none" w:sz="0" w:space="0" w:color="auto"/>
        <w:left w:val="none" w:sz="0" w:space="0" w:color="auto"/>
        <w:bottom w:val="none" w:sz="0" w:space="0" w:color="auto"/>
        <w:right w:val="none" w:sz="0" w:space="0" w:color="auto"/>
      </w:divBdr>
    </w:div>
    <w:div w:id="736587033">
      <w:bodyDiv w:val="1"/>
      <w:marLeft w:val="0"/>
      <w:marRight w:val="0"/>
      <w:marTop w:val="0"/>
      <w:marBottom w:val="0"/>
      <w:divBdr>
        <w:top w:val="none" w:sz="0" w:space="0" w:color="auto"/>
        <w:left w:val="none" w:sz="0" w:space="0" w:color="auto"/>
        <w:bottom w:val="none" w:sz="0" w:space="0" w:color="auto"/>
        <w:right w:val="none" w:sz="0" w:space="0" w:color="auto"/>
      </w:divBdr>
    </w:div>
    <w:div w:id="9288481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5100</Words>
  <Characters>28052</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moniKa Asiri</cp:lastModifiedBy>
  <cp:revision>2</cp:revision>
  <dcterms:created xsi:type="dcterms:W3CDTF">2017-11-30T22:17:00Z</dcterms:created>
  <dcterms:modified xsi:type="dcterms:W3CDTF">2017-11-30T22:17:00Z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id="jVDBsVf4"/&gt;&lt;style id="http://www.zotero.org/styles/chicago-fullnote-bibliography" locale="es-ES" hasBibliography="1" bibliographyStyleHasBeenSet="0"/&gt;&lt;prefs&gt;&lt;pref name="fieldType" value="Field</vt:lpwstr>
  </property>
  <property fmtid="{D5CDD505-2E9C-101B-9397-08002B2CF9AE}" pid="3" name="ZOTERO_PREF_2">
    <vt:lpwstr>"/&gt;&lt;pref name="storeReferences" value="true"/&gt;&lt;pref name="automaticJournalAbbreviations" value="true"/&gt;&lt;pref name="noteType" value="1"/&gt;&lt;/prefs&gt;&lt;/data&gt;</vt:lpwstr>
  </property>
</Properties>
</file>