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47" w:rsidRPr="00347F07" w:rsidRDefault="00347F07" w:rsidP="00347F07">
      <w:pPr>
        <w:jc w:val="center"/>
        <w:rPr>
          <w:rFonts w:ascii="Times New Roman" w:hAnsi="Times New Roman" w:cs="Times New Roman"/>
          <w:b/>
          <w:sz w:val="28"/>
          <w:szCs w:val="28"/>
        </w:rPr>
      </w:pPr>
      <w:r w:rsidRPr="00347F07">
        <w:rPr>
          <w:rFonts w:ascii="Times New Roman" w:hAnsi="Times New Roman" w:cs="Times New Roman"/>
          <w:b/>
          <w:sz w:val="28"/>
          <w:szCs w:val="28"/>
        </w:rPr>
        <w:t>Las obligaciones del Estado en materia de derechos humanos</w:t>
      </w:r>
    </w:p>
    <w:p w:rsidR="00347F07" w:rsidRPr="00347F07" w:rsidRDefault="00347F07" w:rsidP="00347F07">
      <w:pPr>
        <w:jc w:val="both"/>
        <w:rPr>
          <w:rFonts w:ascii="Times New Roman" w:hAnsi="Times New Roman" w:cs="Times New Roman"/>
        </w:rPr>
      </w:pPr>
    </w:p>
    <w:p w:rsidR="00347F07" w:rsidRPr="00347F07" w:rsidRDefault="00347F07" w:rsidP="00347F07">
      <w:pPr>
        <w:jc w:val="both"/>
        <w:rPr>
          <w:rFonts w:ascii="Times New Roman" w:hAnsi="Times New Roman" w:cs="Times New Roman"/>
        </w:rPr>
      </w:pPr>
      <w:r>
        <w:rPr>
          <w:rFonts w:ascii="Times New Roman" w:hAnsi="Times New Roman" w:cs="Times New Roman"/>
        </w:rPr>
        <w:t>En materia de derechos humanos, los Estados se comprometen a respetar y garantizar los derechos humanos de aquellas personas sometidas a su jurisdicción. Estas obligaciones se las debe llevar a cabo sin discriminación alguna. En las páginas siguientes se desarrolla cada una de ellas. Este texto es un extracto de “</w:t>
      </w:r>
      <w:r w:rsidRPr="00347F07">
        <w:rPr>
          <w:rFonts w:ascii="Times New Roman" w:hAnsi="Times New Roman" w:cs="Times New Roman"/>
        </w:rPr>
        <w:t>Estándares internacionales para la administración de justicia. Análisis del caso conocido como Fybeca” de M.H. Carbonell.</w:t>
      </w:r>
      <w:r>
        <w:rPr>
          <w:rStyle w:val="Refdenotaalpie"/>
          <w:rFonts w:ascii="Times New Roman" w:hAnsi="Times New Roman" w:cs="Times New Roman"/>
        </w:rPr>
        <w:footnoteReference w:id="2"/>
      </w:r>
    </w:p>
    <w:p w:rsidR="00347F07" w:rsidRPr="00347F07" w:rsidRDefault="00347F07" w:rsidP="00347F07">
      <w:pPr>
        <w:jc w:val="both"/>
        <w:rPr>
          <w:rFonts w:ascii="Times New Roman" w:hAnsi="Times New Roman" w:cs="Times New Roman"/>
        </w:rPr>
      </w:pPr>
    </w:p>
    <w:p w:rsidR="009F2B47" w:rsidRPr="00347F07" w:rsidRDefault="009F2B47" w:rsidP="00347F07">
      <w:pPr>
        <w:jc w:val="both"/>
        <w:rPr>
          <w:rFonts w:ascii="Times New Roman" w:hAnsi="Times New Roman" w:cs="Times New Roman"/>
        </w:rPr>
      </w:pPr>
    </w:p>
    <w:p w:rsidR="009F2B47" w:rsidRPr="00347F07" w:rsidRDefault="009F2B47" w:rsidP="00347F07">
      <w:pPr>
        <w:pStyle w:val="Prrafodelista"/>
        <w:numPr>
          <w:ilvl w:val="0"/>
          <w:numId w:val="1"/>
        </w:numPr>
        <w:spacing w:line="240" w:lineRule="auto"/>
        <w:rPr>
          <w:rFonts w:cs="Times New Roman"/>
          <w:b/>
          <w:lang w:val="es-ES_tradnl"/>
        </w:rPr>
      </w:pPr>
      <w:r w:rsidRPr="00347F07">
        <w:rPr>
          <w:rFonts w:cs="Times New Roman"/>
          <w:b/>
          <w:lang w:val="es-ES_tradnl"/>
        </w:rPr>
        <w:t>Deber de respeto</w:t>
      </w:r>
    </w:p>
    <w:p w:rsidR="009F2B47" w:rsidRPr="00347F07" w:rsidRDefault="009F2B47" w:rsidP="00347F07">
      <w:pPr>
        <w:jc w:val="both"/>
        <w:rPr>
          <w:rFonts w:ascii="Times New Roman" w:hAnsi="Times New Roman" w:cs="Times New Roman"/>
        </w:rPr>
      </w:pPr>
    </w:p>
    <w:p w:rsidR="009F2B47" w:rsidRPr="00347F07" w:rsidRDefault="009F2B47" w:rsidP="00347F07">
      <w:pPr>
        <w:ind w:right="85"/>
        <w:jc w:val="both"/>
        <w:rPr>
          <w:rFonts w:ascii="Times New Roman" w:hAnsi="Times New Roman" w:cs="Times New Roman"/>
        </w:rPr>
      </w:pPr>
      <w:r w:rsidRPr="00347F07">
        <w:rPr>
          <w:rFonts w:ascii="Times New Roman" w:hAnsi="Times New Roman" w:cs="Times New Roman"/>
        </w:rPr>
        <w:t xml:space="preserve">La principal obligación común a todos los derechos humanos es la de respeto. La razón de ser de ésta gira entorno a los límites del poder público; en este sentido, el Estado debe abstenerse de sobrepasar los límites que le imponen los derechos humanos.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{"citationID":"JZw5KKmR","properties":{"formattedCitation":"{\\rtf Tara Melish, {\\i{}Protecting Economic, Social and Cultural Rights in the Inter-American Human Rights System: A Manual on Presenting Claims} (Ecuador: CDES, 2002), 159.}","plainCitation":"Tara Melish, Protecting Economic, Social and Cultural Rights in the Inter-American Human Rights System: A Manual on Presenting Claims (Ecuador: CDES, 2002), 159."},"citationItems":[{"id":58,"uris":["http://zotero.org/users/2489424/items/AEHZBGVE"],"uri":["http://zotero.org/users/2489424/items/AEHZBGVE"],"itemData":{"id":58,"type":"book","title":"Protecting Economic, Social and Cultural Rights in the Inter-American Human Rights System: A Manual on Presenting Claims","publisher":"CDES","publisher-place":"Ecuador","event-place":"Ecuador","author":[{"family":"Melish","given":"Tara"}],"issued":{"date-parts":[["2002"]]}},"locator":"159"}],"schema":"https://github.com/citation-style-language/schema/raw/master/csl-citation.json"}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lang w:val="en-US"/>
        </w:rPr>
        <w:t xml:space="preserve">Tara Melish, </w:t>
      </w:r>
      <w:r w:rsidR="00347F07" w:rsidRPr="00347F07">
        <w:rPr>
          <w:rFonts w:ascii="Times New Roman" w:eastAsia="Times New Roman" w:hAnsi="Times New Roman" w:cs="Times New Roman"/>
          <w:i/>
          <w:iCs/>
          <w:lang w:val="en-US"/>
        </w:rPr>
        <w:t>Protecting Economic, Social and Cultural Rights in the Inter-American Human Rights System: A Manual on Presenting Claims</w:t>
      </w:r>
      <w:r w:rsidR="00347F07" w:rsidRPr="00347F07">
        <w:rPr>
          <w:rFonts w:ascii="Times New Roman" w:eastAsia="Times New Roman" w:hAnsi="Times New Roman" w:cs="Times New Roman"/>
          <w:lang w:val="en-US"/>
        </w:rPr>
        <w:t xml:space="preserve"> (Ecuador: CDES, 2002), 159.</w:t>
      </w:r>
      <w:r w:rsidR="00C3330D" w:rsidRPr="00347F07">
        <w:rPr>
          <w:rFonts w:ascii="Times New Roman" w:hAnsi="Times New Roman" w:cs="Times New Roman"/>
        </w:rPr>
        <w:fldChar w:fldCharType="end"/>
      </w:r>
      <w:r w:rsidRPr="00347F07">
        <w:rPr>
          <w:rFonts w:ascii="Times New Roman" w:hAnsi="Times New Roman" w:cs="Times New Roman"/>
        </w:rPr>
        <w:t xml:space="preserve">La Corte IDH ha señalado en repetidas ocasiones que la protección de los derechos humanos se fundamenta en el reconocimiento de atributos inherentes a la persona “que no pueden ser legítimamente menoscabados por el ejercicio del poder público”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{"citationID":"q2o4rUmF","properties":{"unsorted":true,"formattedCitation":"(Corte IDH, 1986, p. 21, 2003b, p. 73)","plainCitation":"(Corte IDH, 1986, p. 21, 2003b, p. 73)","dontUpdate":true},"citationItems":[{"id":75,"uris":["http://zotero.org/users/2489424/items/52DKR5RM"],"uri":["http://zotero.org/users/2489424/items/52DKR5RM"],"itemData":{"id":75,"type":"legal_case","title":"La Expresión \"Leyes\" en el Artículo 30 de la Convención Americana sobre Derechos Humanos. Opinión Consultiva OC-6/86","author":[{"family":"Corte IDH","given":""}],"issued":{"date-parts":[["1986",5,9]]}},"locator":"21"},{"id":74,"uris":["http://zotero.org/users/2489424/items/M6E7RDMQ"],"uri":["http://zotero.org/users/2489424/items/M6E7RDMQ"],"itemData":{"id":74,"type":"legal_case","title":"Condición Jurídica y Derechos de los Migrantes Indocumentados. Opinión Consultiva OC-18/03","author":[{"family":"Corte IDH","given":""}],"issued":{"date-parts":[["2003",9,17]]}},"locator":"73"}],"schema":"https://github.com/citation-style-language/schema/raw/master/csl-citation.json"}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hAnsi="Times New Roman" w:cs="Times New Roman"/>
          <w:noProof/>
        </w:rPr>
        <w:t>(Corte IDH, 1986, párr. 21; 2003b, párr. 73)</w:t>
      </w:r>
      <w:r w:rsidR="00C3330D" w:rsidRPr="00347F07">
        <w:rPr>
          <w:rFonts w:ascii="Times New Roman" w:hAnsi="Times New Roman" w:cs="Times New Roman"/>
        </w:rPr>
        <w:fldChar w:fldCharType="end"/>
      </w:r>
      <w:r w:rsidRPr="00347F07">
        <w:rPr>
          <w:rFonts w:ascii="Times New Roman" w:hAnsi="Times New Roman" w:cs="Times New Roman"/>
        </w:rPr>
        <w:t xml:space="preserve">. La Corte reafirma la idea central de que los derechos humanos son un límite para el ejercicio del poder público: imponiéndole un freno a su actuación. Gialdino desarrolla este concepto a través de la noción de contención del poder público frente a valores mínimos. En sus palabras, “los Estados deben abstenerse de violar los derechos reconocidos, de producir impedimentos o dificultades en el acceso de las personas a estos últimos, al tiempo que toda restricción que regulen debe ser permisible de conformidad con las disposición del tratado.”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{"citationID":"QOmOdrzF","properties":{"formattedCitation":"{\\rtf Ronaldo Gialdino, {\\i{}Derecho internacional de los derechos humanos: principios, fuentes, interpretaci\\uc0\\u243{}n y obligaciones} (Buenos Aires: Abeledo Perrot, 2013), 501.}","plainCitation":"Ronaldo Gialdino, Derecho internacional de los derechos humanos: principios, fuentes, interpretación y obligaciones (Buenos Aires: Abeledo Perrot, 2013), 501."},"citationItems":[{"id":76,"uris":["http://zotero.org/users/2489424/items/IE485IQH"],"uri":["http://zotero.org/users/2489424/items/IE485IQH"],"itemData":{"id":76,"type":"book","title":"Derecho internacional de los derechos humanos: principios, fuentes, interpretación y obligaciones","publisher":"Abeledo Perrot","publisher-place":"Buenos Aires","event-place":"Buenos Aires","author":[{"family":"Gialdino","given":"Ronaldo"}],"issued":{"date-parts":[["2013"]]}},"locator":"501"}],"schema":"https://github.com/citation-style-language/schema/raw/master/csl-citation.json"}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rPr>
        <w:t xml:space="preserve">Ronaldo Gialdino, </w:t>
      </w:r>
      <w:r w:rsidR="00347F07" w:rsidRPr="00347F07">
        <w:rPr>
          <w:rFonts w:ascii="Times New Roman" w:eastAsia="Times New Roman" w:hAnsi="Times New Roman" w:cs="Times New Roman"/>
          <w:i/>
          <w:iCs/>
        </w:rPr>
        <w:t>Derecho internacional de los derechos humanos: principios, fuentes, interpretación y obligaciones</w:t>
      </w:r>
      <w:r w:rsidR="00347F07" w:rsidRPr="00347F07">
        <w:rPr>
          <w:rFonts w:ascii="Times New Roman" w:eastAsia="Times New Roman" w:hAnsi="Times New Roman" w:cs="Times New Roman"/>
        </w:rPr>
        <w:t xml:space="preserve"> (Buenos Aires: Abeledo Perrot, 2013), 501.</w:t>
      </w:r>
      <w:r w:rsidR="00C3330D" w:rsidRPr="00347F07">
        <w:rPr>
          <w:rFonts w:ascii="Times New Roman" w:hAnsi="Times New Roman" w:cs="Times New Roman"/>
        </w:rPr>
        <w:fldChar w:fldCharType="end"/>
      </w:r>
      <w:r w:rsidRPr="00347F07">
        <w:rPr>
          <w:rFonts w:ascii="Times New Roman" w:hAnsi="Times New Roman" w:cs="Times New Roman"/>
        </w:rPr>
        <w:t xml:space="preserve"> Será ilícita toda forma de poder público que viole los derechos humanos. “En tal sentido, en toda circunstancia en la cual un órgano o funcionario del Estado o de una institución de carácter público lesione indebidamente uno de tales derechos, se está ante un supuesto de inobservancia del deber de respeto consagrado en ese artículo.”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{"citationID":"yQg8oPkD","properties":{"formattedCitation":"{\\rtf Corte IDH, Caso \\uc0\\u171{}Cinco pensionistas\\uc0\\u187{}. Fondo, reparaciones y costas (28 de febrero de 2003).}","plainCitation":"Corte IDH, Caso «Cinco pensionistas». Fondo, reparaciones y costas (28 de febrero de 2003)."},"citationItems":[{"id":66,"uris":["http://zotero.org/users/2489424/items/KH86X57J"],"uri":["http://zotero.org/users/2489424/items/KH86X57J"],"itemData":{"id":66,"type":"legal_case","title":"Caso \"Cinco pensionistas\". Fondo, reparaciones y costas","author":[{"family":"Corte IDH","given":""}],"issued":{"date-parts":[["2003",2,28]]}},"locator":"163"}],"schema":"https://github.com/citation-style-language/schema/raw/master/csl-citation.json"}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rPr>
        <w:t>Corte IDH, Caso «Cinco pensionistas». Fondo, reparaciones y costas (28 de febrero de 2003).</w:t>
      </w:r>
      <w:r w:rsidR="00C3330D" w:rsidRPr="00347F07">
        <w:rPr>
          <w:rFonts w:ascii="Times New Roman" w:hAnsi="Times New Roman" w:cs="Times New Roman"/>
        </w:rPr>
        <w:fldChar w:fldCharType="end"/>
      </w:r>
      <w:r w:rsidRPr="00347F07">
        <w:rPr>
          <w:rFonts w:ascii="Times New Roman" w:hAnsi="Times New Roman" w:cs="Times New Roman"/>
        </w:rPr>
        <w:t xml:space="preserve"> Adicionalmente a la consideración de que los derechos humanos son un límite al poder público, es preciso señalar que también se configura como una forma de direccionarlo (este tema se lo analizará a profundidad en el siguiente apartado).</w:t>
      </w:r>
    </w:p>
    <w:p w:rsidR="009F2B47" w:rsidRPr="00347F07" w:rsidRDefault="009F2B47" w:rsidP="00347F07">
      <w:pPr>
        <w:ind w:right="85"/>
        <w:jc w:val="both"/>
        <w:rPr>
          <w:rFonts w:ascii="Times New Roman" w:hAnsi="Times New Roman" w:cs="Times New Roman"/>
        </w:rPr>
      </w:pPr>
    </w:p>
    <w:p w:rsidR="009F2B47" w:rsidRPr="00347F07" w:rsidRDefault="009F2B47" w:rsidP="00347F07">
      <w:pPr>
        <w:ind w:right="85"/>
        <w:jc w:val="both"/>
        <w:rPr>
          <w:rFonts w:ascii="Times New Roman" w:hAnsi="Times New Roman" w:cs="Times New Roman"/>
        </w:rPr>
      </w:pPr>
      <w:r w:rsidRPr="00347F07">
        <w:rPr>
          <w:rFonts w:ascii="Times New Roman" w:hAnsi="Times New Roman" w:cs="Times New Roman"/>
        </w:rPr>
        <w:t xml:space="preserve">En referencia al tema que nos atañe, toda conducta que vaya en contra del deber de respeto contenida en la CADH o el PIDCP y que le pueda ser atribuida al Estado, será considerada como un hecho internacionalmente ilícito y generará su responsabilidad. En este sentido, si es que un Estado viola directamente los derechos humanos a través de la conducta de sus agentes, será responsable internacionalmente por incumplir su deber de respeto. Así, la desaparición forzada de personas o la ejecución extrajudicial por parte de la Policía Nacional generará la responsabilidad internacional del Estado cuando dichos agentes actúan en su capacidad oficial. Aquí, un elemento central es la </w:t>
      </w:r>
      <w:r w:rsidRPr="00347F07">
        <w:rPr>
          <w:rFonts w:ascii="Times New Roman" w:hAnsi="Times New Roman" w:cs="Times New Roman"/>
        </w:rPr>
        <w:lastRenderedPageBreak/>
        <w:t>atribución de la conducta al Estado supuestamente responsable. Es lógico que el Estado no puede actuar sino a través de intermediarios. Tradicionalmente le será atribuible aquella conducta llevada a cabo por sus agentes en ejercicio de sus competencias (dichas competencias estarán definidas en el ordenamiento jurídico interno). En los casos de violaciones a los derechos humanos, se presume que la actuación de los/as agentes estatales será atribuible al Estado salvo que se demuestre que no actuaban en ejercicio de sus funciones. Adicionalmente, es necesario mencionar que se generará la responsabilidad del Estado por violaciones a los derechos humanos cuando la actuación de agentes estatales, aun cuando actúen ultra vires, i.e. que excede sus funciones. Esto se verificará siempre y cuando el agente llevó a cabo esa violación a los derechos humanos, aprovechando el poder que su posición como agente le otorgaba.</w:t>
      </w:r>
    </w:p>
    <w:p w:rsidR="009F2B47" w:rsidRPr="00347F07" w:rsidRDefault="009F2B47" w:rsidP="00347F07">
      <w:pPr>
        <w:ind w:right="85"/>
        <w:jc w:val="both"/>
        <w:rPr>
          <w:rFonts w:ascii="Times New Roman" w:hAnsi="Times New Roman" w:cs="Times New Roman"/>
        </w:rPr>
      </w:pPr>
    </w:p>
    <w:p w:rsidR="009F2B47" w:rsidRPr="00347F07" w:rsidRDefault="009F2B47" w:rsidP="00347F07">
      <w:pPr>
        <w:ind w:right="85"/>
        <w:jc w:val="both"/>
        <w:rPr>
          <w:rFonts w:ascii="Times New Roman" w:hAnsi="Times New Roman" w:cs="Times New Roman"/>
          <w:lang w:val="en-US"/>
        </w:rPr>
      </w:pPr>
      <w:r w:rsidRPr="00347F07">
        <w:rPr>
          <w:rFonts w:ascii="Times New Roman" w:hAnsi="Times New Roman" w:cs="Times New Roman"/>
        </w:rPr>
        <w:t xml:space="preserve">Cabe señalarse, sin embargo, que hay algunos casos en los cuales las conductas de terceros pueden generar la responsabilidad del Estado, como se mencionó en el apartado anterior. Esto se da, entre otras circunstancias, cuando actúan en ejercicio de poder público. Para poder determinar si este es el caso, la Comisión de Derechos Internacional de las Naciones Unidas ha presentado tres criterios a ser tenidos en cuenta; a saber: si es que el contenido es estatal; si, normalmente, el Estado se reserva su ejecución; y, si es que, para su ejercicio, es preciso la autorización estatal.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{"citationID":"vOzzI7oQ","properties":{"formattedCitation":"{\\rtf James Crawford, {\\i{}State responsibility. The general part} (Reino Unido: Cambridge University Printing House, 2013), 129-30.}","plainCitation":"James Crawford, State responsibility. The general part (Reino Unido: Cambridge University Printing House, 2013), 129-30."},"citationItems":[{"id":28,"uris":["http://zotero.org/users/2489424/items/DU268NXX"],"uri":["http://zotero.org/users/2489424/items/DU268NXX"],"itemData":{"id":28,"type":"book","title":"State responsibility. The general part","publisher":"Cambridge University Printing House","publisher-place":"Reino Unido","number-of-pages":"825","event-place":"Reino Unido","ISBN":"978-1-107-47778-0","language":"Inglés","author":[{"family":"Crawford","given":"James"}],"issued":{"date-parts":[["2013"]]}},"locator":"129 - 130","label":"page"}],"schema":"https://github.com/citation-style-language/schema/raw/master/csl-citation.json"}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lang w:val="en-US"/>
        </w:rPr>
        <w:t xml:space="preserve">James Crawford, </w:t>
      </w:r>
      <w:r w:rsidR="00347F07" w:rsidRPr="00347F07">
        <w:rPr>
          <w:rFonts w:ascii="Times New Roman" w:eastAsia="Times New Roman" w:hAnsi="Times New Roman" w:cs="Times New Roman"/>
          <w:i/>
          <w:iCs/>
          <w:lang w:val="en-US"/>
        </w:rPr>
        <w:t>State responsibility. The general part</w:t>
      </w:r>
      <w:r w:rsidR="00347F07" w:rsidRPr="00347F07">
        <w:rPr>
          <w:rFonts w:ascii="Times New Roman" w:eastAsia="Times New Roman" w:hAnsi="Times New Roman" w:cs="Times New Roman"/>
          <w:lang w:val="en-US"/>
        </w:rPr>
        <w:t xml:space="preserve"> (Reino Unido: Cambridge University Printing House, 2013), 129-30.</w:t>
      </w:r>
      <w:r w:rsidR="00C3330D" w:rsidRPr="00347F07">
        <w:rPr>
          <w:rFonts w:ascii="Times New Roman" w:hAnsi="Times New Roman" w:cs="Times New Roman"/>
        </w:rPr>
        <w:fldChar w:fldCharType="end"/>
      </w:r>
    </w:p>
    <w:p w:rsidR="009F2B47" w:rsidRPr="00347F07" w:rsidRDefault="009F2B47" w:rsidP="00347F07">
      <w:pPr>
        <w:ind w:right="85"/>
        <w:jc w:val="both"/>
        <w:rPr>
          <w:rFonts w:ascii="Times New Roman" w:hAnsi="Times New Roman" w:cs="Times New Roman"/>
          <w:lang w:val="en-US"/>
        </w:rPr>
      </w:pPr>
    </w:p>
    <w:p w:rsidR="009F2B47" w:rsidRPr="00347F07" w:rsidRDefault="009F2B47" w:rsidP="00347F07">
      <w:pPr>
        <w:pStyle w:val="Prrafodelista"/>
        <w:numPr>
          <w:ilvl w:val="0"/>
          <w:numId w:val="1"/>
        </w:numPr>
        <w:spacing w:line="240" w:lineRule="auto"/>
        <w:rPr>
          <w:rFonts w:cs="Times New Roman"/>
          <w:b/>
          <w:lang w:val="es-ES_tradnl"/>
        </w:rPr>
      </w:pPr>
      <w:r w:rsidRPr="00347F07">
        <w:rPr>
          <w:rFonts w:cs="Times New Roman"/>
          <w:b/>
          <w:lang w:val="es-ES_tradnl"/>
        </w:rPr>
        <w:t>Garantía</w:t>
      </w:r>
    </w:p>
    <w:p w:rsidR="009F2B47" w:rsidRPr="00347F07" w:rsidRDefault="009F2B47" w:rsidP="00347F07">
      <w:pPr>
        <w:jc w:val="both"/>
        <w:rPr>
          <w:rFonts w:ascii="Times New Roman" w:hAnsi="Times New Roman" w:cs="Times New Roman"/>
        </w:rPr>
      </w:pPr>
    </w:p>
    <w:p w:rsidR="009F2B47" w:rsidRPr="00347F07" w:rsidRDefault="009F2B47" w:rsidP="00347F07">
      <w:pPr>
        <w:jc w:val="both"/>
        <w:rPr>
          <w:rFonts w:ascii="Times New Roman" w:hAnsi="Times New Roman" w:cs="Times New Roman"/>
        </w:rPr>
      </w:pPr>
      <w:r w:rsidRPr="00347F07">
        <w:rPr>
          <w:rFonts w:ascii="Times New Roman" w:hAnsi="Times New Roman" w:cs="Times New Roman"/>
        </w:rPr>
        <w:t xml:space="preserve">La segunda obligación contenida en el artículo 1(1) de la CADH y el artículo 2 del PIDCP es la de garantizar los derechos humanos. Ésta, a diferencia de la que vimos en el apartado anterior, es una obligación de carácter positivo que implica una actuación por parte del Estado. Su fundamento es la noción de que los derechos humanos son no solo el límite del poder público sino un mecanismo para direccionarlo a través una serie de pautas que los Estados deberán cumplir a fin de adecuar su conducta a sus obligaciones internacionales. Mowbray, al respecto, señala que, aunque haya apariencia de que el derecho no exige una conducta positiva por parte del titular de la obligación, el principio de efectividad exige, en muchos casos, una actuación por parte de éste a fin de hacerlo efectivo.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{"citationID":"DjXEeM2L","properties":{"formattedCitation":"{\\rtf Alistair Mowbray, \\uc0\\u171{}The development of positive obligations under the European Convention on Human Rights by the European Court of Human Rights\\uc0\\u187{}, en {\\i{}Regional Protection of Human Rights} (Portland: Hart Publishing, 2004), 370.}","plainCitation":"Alistair Mowbray, «The development of positive obligations under the European Convention on Human Rights by the European Court of Human Rights», en Regional Protection of Human Rights (Portland: Hart Publishing, 2004), 370."},"citationItems":[{"id":77,"uris":["http://zotero.org/users/2489424/items/VVC9NDUC"],"uri":["http://zotero.org/users/2489424/items/VVC9NDUC"],"itemData":{"id":77,"type":"chapter","title":"The development of positive obligations under the European Convention on Human Rights by the European Court of Human Rights","container-title":"Regional Protection of Human Rights","publisher":"Hart Publishing","publisher-place":"Portland","event-place":"Portland","author":[{"family":"Mowbray","given":"Alistair"}],"issued":{"date-parts":[["2004"]]}},"locator":"370"}],"schema":"https://github.com/citation-style-language/schema/raw/master/csl-citation.json"}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lang w:val="en-US"/>
        </w:rPr>
        <w:t xml:space="preserve">Alistair Mowbray, «The development of positive obligations under the European Convention on Human Rights by the European Court of Human Rights», en </w:t>
      </w:r>
      <w:r w:rsidR="00347F07" w:rsidRPr="00347F07">
        <w:rPr>
          <w:rFonts w:ascii="Times New Roman" w:eastAsia="Times New Roman" w:hAnsi="Times New Roman" w:cs="Times New Roman"/>
          <w:i/>
          <w:iCs/>
          <w:lang w:val="en-US"/>
        </w:rPr>
        <w:t>Regional Protection of Human Rights</w:t>
      </w:r>
      <w:r w:rsidR="00347F07" w:rsidRPr="00347F07">
        <w:rPr>
          <w:rFonts w:ascii="Times New Roman" w:eastAsia="Times New Roman" w:hAnsi="Times New Roman" w:cs="Times New Roman"/>
          <w:lang w:val="en-US"/>
        </w:rPr>
        <w:t xml:space="preserve"> (Portland: Hart Publishing, 2004), 370.</w:t>
      </w:r>
      <w:r w:rsidR="00C3330D" w:rsidRPr="00347F07">
        <w:rPr>
          <w:rFonts w:ascii="Times New Roman" w:hAnsi="Times New Roman" w:cs="Times New Roman"/>
        </w:rPr>
        <w:fldChar w:fldCharType="end"/>
      </w:r>
      <w:r w:rsidRPr="00347F07">
        <w:rPr>
          <w:rFonts w:ascii="Times New Roman" w:hAnsi="Times New Roman" w:cs="Times New Roman"/>
        </w:rPr>
        <w:t>Así, a pesar de que el derecho sea considerado como uno que exige solamente una obligación de abstención (deber de respeto), se debe dilucidar las conductas que son requeridas para dar cumplimiento al derecho y lograr su pleno ejercicio. En este sentido, el derecho a la vida no sólo exige que los agentes estatales no priven arbitrariamente de la vida a las personas sometidas a la jurisdicción del Estado sino que, además, requiere que se generen programas de capacitación para miembros de las fuerzas encargadas de hacer cumplir la ley para evitar o investigar (de ser el caso) dichas conductas.</w:t>
      </w:r>
    </w:p>
    <w:p w:rsidR="009F2B47" w:rsidRPr="00347F07" w:rsidRDefault="009F2B47" w:rsidP="00347F07">
      <w:pPr>
        <w:jc w:val="both"/>
        <w:rPr>
          <w:rFonts w:ascii="Times New Roman" w:hAnsi="Times New Roman" w:cs="Times New Roman"/>
        </w:rPr>
      </w:pPr>
    </w:p>
    <w:p w:rsidR="009F2B47" w:rsidRPr="00347F07" w:rsidRDefault="009F2B47" w:rsidP="00347F07">
      <w:pPr>
        <w:jc w:val="both"/>
        <w:rPr>
          <w:rFonts w:ascii="Times New Roman" w:hAnsi="Times New Roman" w:cs="Times New Roman"/>
        </w:rPr>
      </w:pPr>
      <w:r w:rsidRPr="00347F07">
        <w:rPr>
          <w:rFonts w:ascii="Times New Roman" w:hAnsi="Times New Roman" w:cs="Times New Roman"/>
        </w:rPr>
        <w:t xml:space="preserve">La CoIDH clarificó que es deber del Estado el organizar “todas las estructuras a través de las cuales se manifiesta el ejercicio del poder público, de tal manera que sean capaces de asegurar jurídicamente el libre y pleno ejercicio de los derechos humanos”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{"citationID":"2225b57sco","properties":{"formattedCitation":"(Corte IDH, 1989, p. 166)","plainCitation":"(Corte IDH, 1989, p. 166)","dontUpdate":true},"citationItems":[{"id":29,"uris":["http://zotero.org/users/2489424/items/MT429RRI"],"uri":["http://zotero.org/users/2489424/items/MT429RRI"],"itemData":{"id":29,"type":"legal_case","title":"Caso Velásquez Rodríguez Vs. Honduras. Fondo","author":[{"family":"Corte IDH","given":""}],"issued":{"date-parts":[["1989"]],"season":"Sentencia de   de enero de"}},"locator":"166"}],"schema":"https://github.com/citation-style-language/schema/raw/master/csl-citation.json"}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hAnsi="Times New Roman" w:cs="Times New Roman"/>
          <w:noProof/>
        </w:rPr>
        <w:t>(Corte IDH, 1989, párr. 166)</w:t>
      </w:r>
      <w:r w:rsidR="00C3330D" w:rsidRPr="00347F07">
        <w:rPr>
          <w:rFonts w:ascii="Times New Roman" w:hAnsi="Times New Roman" w:cs="Times New Roman"/>
        </w:rPr>
        <w:fldChar w:fldCharType="end"/>
      </w:r>
      <w:r w:rsidRPr="00347F07">
        <w:rPr>
          <w:rFonts w:ascii="Times New Roman" w:hAnsi="Times New Roman" w:cs="Times New Roman"/>
        </w:rPr>
        <w:t xml:space="preserve">. Siguiendo su análisis, la Corte señala que, en lo referente a la obligación de garantizar, “los Estados deben prevenir, investigar y sancionar toda </w:t>
      </w:r>
      <w:r w:rsidRPr="00347F07">
        <w:rPr>
          <w:rFonts w:ascii="Times New Roman" w:hAnsi="Times New Roman" w:cs="Times New Roman"/>
        </w:rPr>
        <w:lastRenderedPageBreak/>
        <w:t xml:space="preserve">violación de los derechos reconocidos por la Convención y procurar, además, el restablecimiento, si es posible, del derecho conculcado y, en su caso, la reparación de los daños producidos por la violación de los derechos humanos.”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{"citationID":"W0zsM4qz","properties":{"formattedCitation":"(Corte IDH, 1989, p. 166)","plainCitation":"(Corte IDH, 1989, p. 166)","dontUpdate":true},"citationItems":[{"id":29,"uris":["http://zotero.org/users/2489424/items/MT429RRI"],"uri":["http://zotero.org/users/2489424/items/MT429RRI"],"itemData":{"id":29,"type":"legal_case","title":"Caso Velásquez Rodríguez Vs. Honduras. Fondo","author":[{"family":"Corte IDH","given":""}],"issued":{"date-parts":[["1989"]],"season":"Sentencia de   de enero de"}},"locator":"166","label":"page"}],"schema":"https://github.com/citation-style-language/schema/raw/master/csl-citation.json"}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hAnsi="Times New Roman" w:cs="Times New Roman"/>
          <w:noProof/>
        </w:rPr>
        <w:t>(Corte IDH, 1989, párr. 166)</w:t>
      </w:r>
      <w:r w:rsidR="00C3330D" w:rsidRPr="00347F07">
        <w:rPr>
          <w:rFonts w:ascii="Times New Roman" w:hAnsi="Times New Roman" w:cs="Times New Roman"/>
        </w:rPr>
        <w:fldChar w:fldCharType="end"/>
      </w:r>
      <w:r w:rsidRPr="00347F07">
        <w:rPr>
          <w:rFonts w:ascii="Times New Roman" w:hAnsi="Times New Roman" w:cs="Times New Roman"/>
        </w:rPr>
        <w:t xml:space="preserve"> Para el análisis de esta obligación, utilizaremos la clasificación hecha por Melish, recogiendo la jurisprudencia de la Corte IDH. Así, el deber de garantía implica las siguientes obligaciones concretas: prevenir, investigar, sancionar, reparar y asegurar un contenido mínimo del derecho. </w:t>
      </w:r>
      <w:r w:rsidR="00C3330D" w:rsidRPr="00347F07">
        <w:rPr>
          <w:rFonts w:ascii="Times New Roman" w:hAnsi="Times New Roman" w:cs="Times New Roman"/>
        </w:rPr>
        <w:fldChar w:fldCharType="begin"/>
      </w:r>
      <w:r w:rsidRPr="00347F07">
        <w:rPr>
          <w:rFonts w:ascii="Times New Roman" w:hAnsi="Times New Roman" w:cs="Times New Roman"/>
        </w:rPr>
        <w:instrText xml:space="preserve"> ADDIN ZOTERO_ITEM CSL_CITATION {"citationID":"VYH27roC","properties":{"custom":"(Fa\\uc0\\u250{}ndez Ledesma, 2004, 12-8; Melish, 2002, pp. 160-87)","unsorted":true,"formattedCitation":"{\\rtf (Fa\\uc0\\u250{}ndez Ledesma, 2004, 12-8; Melish, 2002, pp. 160-87)}","plainCitation":"(Faúndez Ledesma, 2004, 12-8; Melish, 2002, pp. 160-87)"},"citationItems":[{"id":4,"uris":["http://zotero.org/users/2489424/items/6CIBXA4K"],"uri":["http://zotero.org/users/2489424/items/6CIBXA4K"],"itemData":{"id":4,"type":"book","title":"Sistema Interamericano de Protección de Derechos Humanos. Aspectos institucionales y procesales","publisher":"IIDH","publisher-place":"Costa Rica","number-of-pages":"600","edition":"3era","event-place":"Costa Rica","ISBN":"9968-917-24-9","shortTitle":"Sistema Interamericano de Protección de Derechos Humanos","language":"español","author":[{"family":"Faúndez Ledesma","given":"Héctor"}],"issued":{"date-parts":[["2004"]]}},"label":"page"},{"id":58,"uris":["http://zotero.org/users/2489424/items/AEHZBGVE"],"uri":["http://zotero.org/users/2489424/items/AEHZBGVE"],"itemData":{"id":58,"type":"book","title":"Protecting Economic, Social and Cultural Rights in the Inter-American Human Rights System: A Manual on Presenting Claims","publisher":"CDES","publisher-place":"Ecuador","event-place":"Ecuador","author":[{"family":"Melish","given":"Tara"}],"issued":{"date-parts":[["2002"]]}},"locator":"12-8","label":"page"}],"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eastAsia="Times New Roman" w:hAnsi="Times New Roman" w:cs="Times New Roman"/>
        </w:rPr>
        <w:t>(Faúndez Ledesma, 2004, 12-8; Melish, 2002, pp. 160-187)</w:t>
      </w:r>
      <w:r w:rsidR="00C3330D" w:rsidRPr="00347F07">
        <w:rPr>
          <w:rFonts w:ascii="Times New Roman" w:hAnsi="Times New Roman" w:cs="Times New Roman"/>
        </w:rPr>
        <w:fldChar w:fldCharType="end"/>
      </w:r>
    </w:p>
    <w:p w:rsidR="009F2B47" w:rsidRPr="00347F07" w:rsidRDefault="009F2B47" w:rsidP="00347F07">
      <w:pPr>
        <w:jc w:val="both"/>
        <w:rPr>
          <w:rFonts w:ascii="Times New Roman" w:hAnsi="Times New Roman" w:cs="Times New Roman"/>
        </w:rPr>
      </w:pPr>
    </w:p>
    <w:p w:rsidR="009F2B47" w:rsidRPr="00415B9D" w:rsidRDefault="009F2B47" w:rsidP="00347F07">
      <w:pPr>
        <w:jc w:val="both"/>
        <w:rPr>
          <w:rFonts w:ascii="Times New Roman" w:hAnsi="Times New Roman" w:cs="Times New Roman"/>
          <w:lang w:val="en-US"/>
        </w:rPr>
      </w:pPr>
      <w:r w:rsidRPr="00347F07">
        <w:rPr>
          <w:rFonts w:ascii="Times New Roman" w:hAnsi="Times New Roman" w:cs="Times New Roman"/>
        </w:rPr>
        <w:t xml:space="preserve">En lo que respecta a la obligación de prevenir, ésta puede dividirse en las siguientes categorías: regular, monitorear, conducir estudios y remover obstáculos estructurales. La regulación implica, entre otras cosas, la imposición de marcos legales a fin de limitar las conductas que pudieran vulnerar derechos e incluye la previsión de sanciones para ciertas conductas. La tipificación de la violencia en contra de la mujer en el ordenamiento jurídico interno es un ejemplo de una medida de cumplimiento de la obligación de garantizar a través de la regulación. Por otro lado, el monitoreo, implica que se creen programas, planes y actividades con el fin de obtener información relativa al grado de cumplimiento o incumplimiento de los derechos humanos. El conducir estudios de impacto de actuaciones del Estado va de la mano con el monitoreo. Gialdino nombra a estas subobligaciones como “conocer”, formar diagnósticos y vigilar la situación de los derechos humanos de las personas bajo su jurisdicción.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{"citationID":"NuZdKC2O","properties":{"formattedCitation":"{\\rtf Gialdino, {\\i{}Derecho internacional de los derechos humanos: principios, fuentes, interpretaci\\uc0\\u243{}n y obligaciones}, 493-97.}","plainCitation":"Gialdino, Derecho internacional de los derechos humanos: principios, fuentes, interpretación y obligaciones, 493-97."},"citationItems":[{"id":76,"uris":["http://zotero.org/users/2489424/items/IE485IQH"],"uri":["http://zotero.org/users/2489424/items/IE485IQH"],"itemData":{"id":76,"type":"book","title":"Derecho internacional de los derechos humanos: principios, fuentes, interpretación y obligaciones","publisher":"Abeledo Perrot","publisher-place":"Buenos Aires","event-place":"Buenos Aires","author":[{"family":"Gialdino","given":"Ronaldo"}],"issued":{"date-parts":[["2013"]]}},"locator":"493-497"}],"schema":"https://github.com/citation-style-language/schema/raw/master/csl-citation.json"}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rPr>
        <w:t xml:space="preserve">Gialdino, </w:t>
      </w:r>
      <w:r w:rsidR="00347F07" w:rsidRPr="00347F07">
        <w:rPr>
          <w:rFonts w:ascii="Times New Roman" w:eastAsia="Times New Roman" w:hAnsi="Times New Roman" w:cs="Times New Roman"/>
          <w:i/>
          <w:iCs/>
        </w:rPr>
        <w:t>Derecho internacional de los derechos humanos: principios, fuentes, interpretación y obligaciones</w:t>
      </w:r>
      <w:r w:rsidR="00347F07" w:rsidRPr="00347F07">
        <w:rPr>
          <w:rFonts w:ascii="Times New Roman" w:eastAsia="Times New Roman" w:hAnsi="Times New Roman" w:cs="Times New Roman"/>
        </w:rPr>
        <w:t>, 493-97.</w:t>
      </w:r>
      <w:r w:rsidR="00C3330D" w:rsidRPr="00347F07">
        <w:rPr>
          <w:rFonts w:ascii="Times New Roman" w:hAnsi="Times New Roman" w:cs="Times New Roman"/>
        </w:rPr>
        <w:fldChar w:fldCharType="end"/>
      </w:r>
      <w:r w:rsidRPr="00347F07">
        <w:rPr>
          <w:rFonts w:ascii="Times New Roman" w:hAnsi="Times New Roman" w:cs="Times New Roman"/>
        </w:rPr>
        <w:t xml:space="preserve"> Los dos ámbitos son esenciales para el desarrollo de políticas públicas, planes y programas nacionales para alcanzar el pleno ejercicio de los derechos. Por último, el remover obstáculos estructurales que impiden el pleno ejercicio de los derechos humanos es uno de los componentes de la obligación de garantizar. La CoIDH ha establecido que se deben eliminar todas aquellas barreras que impidan a las personas el goce y ejercicio de los derechos, en relación el deber de adecuar la normativa interna (art. 2 CADH).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{"citationID":"BczTiOao","properties":{"formattedCitation":"(Corte IDH, 2007, p. 57)","plainCitation":"(Corte IDH, 2007, p. 57)","dontUpdate":true},"citationItems":[{"id":78,"uris":["http://zotero.org/users/2489424/items/29FIVWNA"],"uri":["http://zotero.org/users/2489424/items/29FIVWNA"],"itemData":{"id":78,"type":"legal_case","title":"Caso Zambrano Vélez y otros. Fondo, reparaciones y costas","author":[{"family":"Corte IDH","given":""}],"issued":{"date-parts":[["2007",7,4]]}},"locator":"57"}],"schema":"https://github.com/citation-style-language/schema/raw/master/csl-citation.json"} </w:instrText>
      </w:r>
      <w:r w:rsidR="00C3330D" w:rsidRPr="00347F07">
        <w:rPr>
          <w:rFonts w:ascii="Times New Roman" w:hAnsi="Times New Roman" w:cs="Times New Roman"/>
        </w:rPr>
        <w:fldChar w:fldCharType="separate"/>
      </w:r>
      <w:r w:rsidRPr="00415B9D">
        <w:rPr>
          <w:rFonts w:ascii="Times New Roman" w:hAnsi="Times New Roman" w:cs="Times New Roman"/>
          <w:noProof/>
          <w:lang w:val="en-US"/>
        </w:rPr>
        <w:t>(Corte IDH, 2007, párr. 57)</w:t>
      </w:r>
      <w:r w:rsidR="00C3330D" w:rsidRPr="00347F07">
        <w:rPr>
          <w:rFonts w:ascii="Times New Roman" w:hAnsi="Times New Roman" w:cs="Times New Roman"/>
        </w:rPr>
        <w:fldChar w:fldCharType="end"/>
      </w:r>
    </w:p>
    <w:p w:rsidR="009F2B47" w:rsidRPr="00415B9D" w:rsidRDefault="009F2B47" w:rsidP="00347F07">
      <w:pPr>
        <w:jc w:val="both"/>
        <w:rPr>
          <w:rFonts w:ascii="Times New Roman" w:hAnsi="Times New Roman" w:cs="Times New Roman"/>
          <w:lang w:val="en-US"/>
        </w:rPr>
      </w:pPr>
    </w:p>
    <w:p w:rsidR="009F2B47" w:rsidRPr="00347F07" w:rsidRDefault="009F2B47" w:rsidP="00347F07">
      <w:pPr>
        <w:widowControl w:val="0"/>
        <w:autoSpaceDE w:val="0"/>
        <w:autoSpaceDN w:val="0"/>
        <w:adjustRightInd w:val="0"/>
        <w:spacing w:after="240"/>
        <w:jc w:val="both"/>
        <w:rPr>
          <w:rFonts w:ascii="Times New Roman" w:hAnsi="Times New Roman" w:cs="Times New Roman"/>
        </w:rPr>
      </w:pPr>
      <w:r w:rsidRPr="00347F07">
        <w:rPr>
          <w:rFonts w:ascii="Times New Roman" w:hAnsi="Times New Roman" w:cs="Times New Roman"/>
          <w:lang w:val="en-US"/>
        </w:rPr>
        <w:t xml:space="preserve">Mowbray </w:t>
      </w:r>
      <w:r w:rsidR="00C3330D" w:rsidRPr="00347F07">
        <w:rPr>
          <w:rFonts w:ascii="Times New Roman" w:hAnsi="Times New Roman" w:cs="Times New Roman"/>
        </w:rPr>
        <w:fldChar w:fldCharType="begin"/>
      </w:r>
      <w:r w:rsidR="00347F07" w:rsidRPr="00347F07">
        <w:rPr>
          <w:rFonts w:ascii="Times New Roman" w:hAnsi="Times New Roman" w:cs="Times New Roman"/>
          <w:lang w:val="en-US"/>
        </w:rPr>
        <w:instrText xml:space="preserve"> ADDIN ZOTERO_ITEM CSL_CITATION {"citationID":"BMxCFFIC","properties":{"formattedCitation":"{\\rtf Mowbray, \\uc0\\u171{}The development of positive obligations under the European Convention on Human Rights by the European Court of Human Rights\\uc0\\u187{}, 370-73.}","plainCitation":"Mowbray, «The development of positive obligations under the European Convention on Human Rights by the European Court of Human Rights», 370-73."},"citationItems":[{"id":77,"uris":["http://zotero.org/users/2489424/items/VVC9NDUC"],"uri":["http://zotero.org/users/2489424/items/VVC9NDUC"],"itemData":{"id":77,"type":"chapter","title":"The development of positive obligations under the European Convention on Human Rights by the European Court of Human Rights","container-title":"Regional Protection of Human Rights","publisher":"Hart Publishing","publisher-place":"Portland","event-place":"Portland","author":[{"family":"Mowbray","given":"Alistair"}],"issued":{"date-parts":[["2004"]]}},"locator":"370-373"}],"schema":"https://github.com/citation-style-language/schema/raw/master/csl-citation.json"}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lang w:val="en-US"/>
        </w:rPr>
        <w:t>Mowbray, «The development of positive obligations under the European Convention on Human Rights by the European Court of Human Rights», 370-73.</w:t>
      </w:r>
      <w:r w:rsidR="00C3330D" w:rsidRPr="00347F07">
        <w:rPr>
          <w:rFonts w:ascii="Times New Roman" w:hAnsi="Times New Roman" w:cs="Times New Roman"/>
        </w:rPr>
        <w:fldChar w:fldCharType="end"/>
      </w:r>
      <w:r w:rsidRPr="00347F07">
        <w:rPr>
          <w:rFonts w:ascii="Times New Roman" w:hAnsi="Times New Roman" w:cs="Times New Roman"/>
        </w:rPr>
        <w:t xml:space="preserve">recoge la amplia jurisprudencia de la Corte Europea de Derechos Humanos para reafirma que la investigación y sanción no es una mera formalidad sino que debe ser realizada con la debida diligencia para esclarecer los hechos. La CoIDH en la sentencia del </w:t>
      </w:r>
      <w:r w:rsidRPr="00347F07">
        <w:rPr>
          <w:rFonts w:ascii="Times New Roman" w:hAnsi="Times New Roman" w:cs="Times New Roman"/>
          <w:i/>
        </w:rPr>
        <w:t>caso Velásquez Rodríguez</w:t>
      </w:r>
      <w:r w:rsidRPr="00347F07">
        <w:rPr>
          <w:rFonts w:ascii="Times New Roman" w:hAnsi="Times New Roman" w:cs="Times New Roman"/>
        </w:rPr>
        <w:t xml:space="preserve"> estableció, reafirmando la importancia de la investigación y sanción de los responsables, que </w:t>
      </w:r>
    </w:p>
    <w:p w:rsidR="009F2B47" w:rsidRPr="00347F07" w:rsidRDefault="009F2B47" w:rsidP="00347F07">
      <w:pPr>
        <w:widowControl w:val="0"/>
        <w:autoSpaceDE w:val="0"/>
        <w:autoSpaceDN w:val="0"/>
        <w:adjustRightInd w:val="0"/>
        <w:spacing w:after="240"/>
        <w:ind w:left="567"/>
        <w:jc w:val="both"/>
        <w:rPr>
          <w:rFonts w:ascii="Times New Roman" w:hAnsi="Times New Roman" w:cs="Times New Roman"/>
        </w:rPr>
      </w:pPr>
      <w:r w:rsidRPr="00347F07">
        <w:rPr>
          <w:rFonts w:ascii="Times New Roman" w:hAnsi="Times New Roman" w:cs="Times New Roman"/>
        </w:rPr>
        <w:t xml:space="preserve">(e)l Estado está, por otra parte, obligado a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{"citationID":"JBYlUU5Z","properties":{"formattedCitation":"(Corte IDH, 1988, p. 176)","plainCitation":"(Corte IDH, 1988, p. 176)","dontUpdate":true},"citationItems":[{"id":50,"uris":["http://zotero.org/users/2489424/items/IQBQTDD8"],"uri":["http://zotero.org/users/2489424/items/IQBQTDD8"],"itemData":{"id":50,"type":"legal_case","title":"Caso Velásquez Rodríguez Vs. Honduras. Fondo","author":[{"family":"Corte IDH","given":""}],"issued":{"date-parts":[["1988",7,29]]}},"locator":"176"}],"schema":"https://github.com/citation-style-language/schema/raw/master/csl-citation.json"}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hAnsi="Times New Roman" w:cs="Times New Roman"/>
          <w:noProof/>
        </w:rPr>
        <w:t>(Corte IDH, 1988, párr. 176)</w:t>
      </w:r>
      <w:r w:rsidR="00C3330D" w:rsidRPr="00347F07">
        <w:rPr>
          <w:rFonts w:ascii="Times New Roman" w:hAnsi="Times New Roman" w:cs="Times New Roman"/>
        </w:rPr>
        <w:fldChar w:fldCharType="end"/>
      </w:r>
    </w:p>
    <w:p w:rsidR="009F2B47" w:rsidRPr="00347F07" w:rsidRDefault="009F2B47" w:rsidP="00347F07">
      <w:pPr>
        <w:widowControl w:val="0"/>
        <w:autoSpaceDE w:val="0"/>
        <w:autoSpaceDN w:val="0"/>
        <w:adjustRightInd w:val="0"/>
        <w:spacing w:after="240"/>
        <w:jc w:val="both"/>
        <w:rPr>
          <w:rFonts w:ascii="Times New Roman" w:hAnsi="Times New Roman" w:cs="Times New Roman"/>
        </w:rPr>
      </w:pPr>
      <w:r w:rsidRPr="00347F07">
        <w:rPr>
          <w:rFonts w:ascii="Times New Roman" w:hAnsi="Times New Roman" w:cs="Times New Roman"/>
        </w:rPr>
        <w:t xml:space="preserve">El objetivo de esta obligación, citando el principio 26 del </w:t>
      </w:r>
      <w:r w:rsidRPr="00347F07">
        <w:rPr>
          <w:rFonts w:ascii="Times New Roman" w:hAnsi="Times New Roman" w:cs="Times New Roman"/>
          <w:i/>
        </w:rPr>
        <w:t>Informe Final relativo a la administración de la justicia y los derechos humanos de los detenidos</w:t>
      </w:r>
      <w:r w:rsidRPr="00347F07">
        <w:rPr>
          <w:rFonts w:ascii="Times New Roman" w:hAnsi="Times New Roman" w:cs="Times New Roman"/>
        </w:rPr>
        <w:t xml:space="preserve"> de la ex Comisión de Derechos Humanos, está relacionado con alcanzar una reconciliación justa y durable de la víctima y el perpetrador y de la sociedad como todo.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{"citationID":"ZF4XlqHq","properties":{"formattedCitation":"{\\rtf Comisi\\uc0\\u243{}n de Derechos Humanos. Subcomisi\\uc0\\u243{}n de Prevenci\\uc0\\u243{}n de Discriminaciones y Protecci\\uc0\\u243{}n de las Minor\\uc0\\u237{}as, La administraci\\uc0\\u243{}n de la justicia y los derechos humanos de los detenidos. La cuesti\\uc0\\u243{}n de la impunidad de los autores de violaciones de los derechos humanos (civiles y pol\\uc0\\u237{}ticos). Informe final elaborado y revisado por M. Joinet en aplicaci\\uc0\\u243{}n de la decisi\\uc0\\u243{}n 1996/119 de la Subcomisi\\uc0\\u243{}n, No. E/CN. 4/Sub. 2/1997/20/Rev.1 (1997).}","plainCitation":"Comisión de Derechos Humanos. Subcomisión de Prevención de Discriminaciones y Protección de las Minorías, La administración de la justicia y los derechos humanos de los detenidos. La cuestión de la impunidad de los autores de violaciones de los derechos humanos (civiles y políticos). Informe final elaborado y revisado por M. Joinet en aplicación de la decisión 1996/119 de la Subcomisión, No. E/CN. 4/Sub. 2/1997/20/Rev.1 (1997)."},"citationItems":[{"id":169,"uris":["http://zotero.org/users/2489424/items/NWRFNWBV"],"uri":["http://zotero.org/users/2489424/items/NWRFNWBV"],"itemData":{"id":169,"type":"legal_case","title":"La administración de la justicia y los derechos humanos de los detenidos. La cuestión de la impunidad de los autores de violaciones de los derechos humanos (civiles y políticos). Informe final elaborado y revisado por M. Joinet en aplicación de la decisión 1996/119 de la Subcomisión","number":"E/CN. 4/Sub. 2/1997/20/Rev.1","author":[{"family":"Comisión de Derechos Humanos. Subcomisión de Prevención de Discriminaciones y Protección de las Minorías","given":""}],"issued":{"date-parts":[["1997"]]}}}],"schema":"https://github.com/citation-style-language/schema/raw/master/csl-citation.json"}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rPr>
        <w:t xml:space="preserve">Comisión de </w:t>
      </w:r>
      <w:r w:rsidR="00347F07" w:rsidRPr="00347F07">
        <w:rPr>
          <w:rFonts w:ascii="Times New Roman" w:eastAsia="Times New Roman" w:hAnsi="Times New Roman" w:cs="Times New Roman"/>
        </w:rPr>
        <w:lastRenderedPageBreak/>
        <w:t>Derechos Humanos. Subcomisión de Prevención de Discriminaciones y Protección de las Minorías, La administración de la justicia y los derechos humanos de los detenidos. La cuestión de la impunidad de los autores de violaciones de los derechos humanos (civiles y políticos). Informe final elaborado y revisado por M. Joinet en aplicación de la decisión 1996/119 de la Subcomisión, No. E/CN. 4/Sub. 2/1997/20/Rev.1 (1997).</w:t>
      </w:r>
      <w:r w:rsidR="00C3330D" w:rsidRPr="00347F07">
        <w:rPr>
          <w:rFonts w:ascii="Times New Roman" w:hAnsi="Times New Roman" w:cs="Times New Roman"/>
        </w:rPr>
        <w:fldChar w:fldCharType="end"/>
      </w:r>
      <w:r w:rsidRPr="00347F07">
        <w:rPr>
          <w:rFonts w:ascii="Times New Roman" w:hAnsi="Times New Roman" w:cs="Times New Roman"/>
        </w:rPr>
        <w:t xml:space="preserve"> La Corte IDH ha establecido que la impunidad propicia la repetición crónica de las violaciones de los derechos humanos y la total indefensión de las víctimas y de sus familiares.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{"citationID":"ry7T009Q","properties":{"formattedCitation":"(Corte IDH, 1998, pp. 169-73)","plainCitation":"(Corte IDH, 1998, pp. 169-73)","dontUpdate":true},"citationItems":[{"id":79,"uris":["http://zotero.org/users/2489424/items/JV5IPMGP"],"uri":["http://zotero.org/users/2489424/items/JV5IPMGP"],"itemData":{"id":79,"type":"legal_case","title":"Caso de la \"Panel Blanca\" (Paniagua Morales y otros). Fondo","author":[{"family":"Corte IDH","given":""}],"issued":{"date-parts":[["1998",3,8]]}},"locator":"169-73"}],"schema":"https://github.com/citation-style-language/schema/raw/master/csl-citation.json"}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hAnsi="Times New Roman" w:cs="Times New Roman"/>
        </w:rPr>
        <w:t>(Corte IDH, 1998, párr. 169-73)</w:t>
      </w:r>
      <w:r w:rsidR="00C3330D" w:rsidRPr="00347F07">
        <w:rPr>
          <w:rFonts w:ascii="Times New Roman" w:hAnsi="Times New Roman" w:cs="Times New Roman"/>
        </w:rPr>
        <w:fldChar w:fldCharType="end"/>
      </w:r>
      <w:r w:rsidRPr="00347F07">
        <w:rPr>
          <w:rFonts w:ascii="Times New Roman" w:hAnsi="Times New Roman" w:cs="Times New Roman"/>
        </w:rPr>
        <w:t xml:space="preserve"> La obligación de investigar las violaciones a los derechos humanos va de la mano con la de sancionar a las personas responsables por dichas conductas. Cabe señalarse que esta es una obligación de medio mas no de resultado.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{"citationID":"1vbdjua2cj","properties":{"formattedCitation":"(Corte IDH, 1989, p. 177)","plainCitation":"(Corte IDH, 1989, p. 177)","dontUpdate":true},"citationItems":[{"id":29,"uris":["http://zotero.org/users/2489424/items/MT429RRI"],"uri":["http://zotero.org/users/2489424/items/MT429RRI"],"itemData":{"id":29,"type":"legal_case","title":"Caso Velásquez Rodríguez Vs. Honduras. Fondo","author":[{"family":"Corte IDH","given":""}],"issued":{"date-parts":[["1989"]],"season":"Sentencia de   de enero de"}},"locator":"177"}],"schema":"https://github.com/citation-style-language/schema/raw/master/csl-citation.json"}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hAnsi="Times New Roman" w:cs="Times New Roman"/>
          <w:noProof/>
        </w:rPr>
        <w:t>(Corte IDH, 1989, párr. 177)</w:t>
      </w:r>
      <w:r w:rsidR="00C3330D" w:rsidRPr="00347F07">
        <w:rPr>
          <w:rFonts w:ascii="Times New Roman" w:hAnsi="Times New Roman" w:cs="Times New Roman"/>
        </w:rPr>
        <w:fldChar w:fldCharType="end"/>
      </w:r>
    </w:p>
    <w:p w:rsidR="009F2B47" w:rsidRDefault="009F2B47" w:rsidP="00347F07">
      <w:pPr>
        <w:widowControl w:val="0"/>
        <w:autoSpaceDE w:val="0"/>
        <w:autoSpaceDN w:val="0"/>
        <w:adjustRightInd w:val="0"/>
        <w:spacing w:after="240"/>
        <w:jc w:val="both"/>
        <w:rPr>
          <w:rFonts w:ascii="Times New Roman" w:hAnsi="Times New Roman" w:cs="Times New Roman"/>
        </w:rPr>
      </w:pPr>
      <w:r w:rsidRPr="00347F07">
        <w:rPr>
          <w:rFonts w:ascii="Times New Roman" w:hAnsi="Times New Roman" w:cs="Times New Roman"/>
        </w:rPr>
        <w:t>Una vez que se aclaró el c</w:t>
      </w:r>
      <w:r w:rsidR="00347F07">
        <w:rPr>
          <w:rFonts w:ascii="Times New Roman" w:hAnsi="Times New Roman" w:cs="Times New Roman"/>
        </w:rPr>
        <w:t>ontenido de la obligación</w:t>
      </w:r>
      <w:r w:rsidRPr="00347F07">
        <w:rPr>
          <w:rFonts w:ascii="Times New Roman" w:hAnsi="Times New Roman" w:cs="Times New Roman"/>
        </w:rPr>
        <w:t xml:space="preserve"> de garantía, el Estado será responsable al incurrir en una conducta que no se adecúe a lo que sus obligaciones internacionales requiera</w:t>
      </w:r>
      <w:r w:rsidR="00347F07">
        <w:rPr>
          <w:rFonts w:ascii="Times New Roman" w:hAnsi="Times New Roman" w:cs="Times New Roman"/>
        </w:rPr>
        <w:t>n</w:t>
      </w:r>
      <w:r w:rsidRPr="00347F07">
        <w:rPr>
          <w:rFonts w:ascii="Times New Roman" w:hAnsi="Times New Roman" w:cs="Times New Roman"/>
        </w:rPr>
        <w:t xml:space="preserve">. Si es que se verifica un hecho internacionalmente ilícito, el Estado deberá reparar dicha conducta. El Comité de Derechos Humanos de las Naciones Unidas, en la Observación General No. 31, reafirmó la existencia de esta obligación.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{"citationID":"9abiPNaC","properties":{"formattedCitation":"{\\rtf (Comit\\uc0\\u233{} de Derechos Humanos, 2004, pp. 16-17)}","plainCitation":"(Comité de Derechos Humanos, 2004, pp. 16-17)","dontUpdate":true},"citationItems":[{"id":73,"uris":["http://zotero.org/users/2489424/items/TFD29IP6"],"uri":["http://zotero.org/users/2489424/items/TFD29IP6"],"itemData":{"id":73,"type":"legal_case","title":"Observación General No. 31, La índole de la obligación jurídica general impuesta","number":"U.N. Doc. HRI/GEN/1/Rev.7 at 225","author":[{"family":"Comité de Derechos Humanos","given":""}],"issued":{"date-parts":[["2004"]]}},"locator":"16-17"}],"schema":"https://github.com/citation-style-language/schema/raw/master/csl-citation.json"} </w:instrText>
      </w:r>
      <w:r w:rsidR="00C3330D" w:rsidRPr="00347F07">
        <w:rPr>
          <w:rFonts w:ascii="Times New Roman" w:hAnsi="Times New Roman" w:cs="Times New Roman"/>
        </w:rPr>
        <w:fldChar w:fldCharType="separate"/>
      </w:r>
      <w:r w:rsidRPr="00347F07">
        <w:rPr>
          <w:rFonts w:ascii="Times New Roman" w:eastAsia="Times New Roman" w:hAnsi="Times New Roman" w:cs="Times New Roman"/>
        </w:rPr>
        <w:t>(Comité de Derechos Humanos, 2004, párr. 16-17)</w:t>
      </w:r>
      <w:r w:rsidR="00C3330D" w:rsidRPr="00347F07">
        <w:rPr>
          <w:rFonts w:ascii="Times New Roman" w:hAnsi="Times New Roman" w:cs="Times New Roman"/>
        </w:rPr>
        <w:fldChar w:fldCharType="end"/>
      </w:r>
      <w:r w:rsidRPr="00347F07">
        <w:rPr>
          <w:rFonts w:ascii="Times New Roman" w:hAnsi="Times New Roman" w:cs="Times New Roman"/>
        </w:rPr>
        <w:t xml:space="preserve"> La obligación de reparar es una consecuencia lógica de la comisión de un hecho internacionalmente ilícito, en este caso, de una violación a los derechos humanos. La clasificación tradicional de las medidas de reparación incluye la </w:t>
      </w:r>
      <w:r w:rsidRPr="00347F07">
        <w:rPr>
          <w:rFonts w:ascii="Times New Roman" w:hAnsi="Times New Roman" w:cs="Times New Roman"/>
          <w:i/>
        </w:rPr>
        <w:t>restitutio in integrum</w:t>
      </w:r>
      <w:r w:rsidRPr="00347F07">
        <w:rPr>
          <w:rFonts w:ascii="Times New Roman" w:hAnsi="Times New Roman" w:cs="Times New Roman"/>
        </w:rPr>
        <w:t xml:space="preserve">, la compensación y la satisfacción.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{"citationID":"VCjCkGoC","properties":{"formattedCitation":"{\\rtf Francisco Barbosa Delgado, {\\i{}Litigio interamericano. Perspectiva jur\\uc0\\u237{}dica del sistema de protecci\\uc0\\u243{}n de derechos humanos} (Bogot\\uc0\\u225{}: Universidad de Bogot\\uc0\\u225{}, 2002), 248-52; Crawford, {\\i{}State responsibility. The general part}, 481-538.}","plainCitation":"Francisco Barbosa Delgado, Litigio interamericano. Perspectiva jurídica del sistema de protección de derechos humanos (Bogotá: Universidad de Bogotá, 2002), 248-52; Crawford, State responsibility. The general part, 481-538."},"citationItems":[{"id":175,"uris":["http://zotero.org/users/2489424/items/A7WF34KX"],"uri":["http://zotero.org/users/2489424/items/A7WF34KX"],"itemData":{"id":175,"type":"book","title":"Litigio interamericano. Perspectiva jurídica del sistema de protección de derechos humanos","publisher":"Universidad de Bogotá","publisher-place":"Bogotá","event-place":"Bogotá","author":[{"family":"Barbosa Delgado","given":"Francisco"}],"issued":{"date-parts":[["2002"]]}},"locator":"248-252"},{"id":28,"uris":["http://zotero.org/users/2489424/items/DU268NXX"],"uri":["http://zotero.org/users/2489424/items/DU268NXX"],"itemData":{"id":28,"type":"book","title":"State responsibility. The general part","publisher":"Cambridge University Printing House","publisher-place":"Reino Unido","number-of-pages":"825","event-place":"Reino Unido","ISBN":"978-1-107-47778-0","language":"Inglés","author":[{"family":"Crawford","given":"James"}],"issued":{"date-parts":[["2013"]]}},"locator":"481-538"}],"schema":"https://github.com/citation-style-language/schema/raw/master/csl-citation.json"}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rPr>
        <w:t xml:space="preserve">Francisco Barbosa Delgado, </w:t>
      </w:r>
      <w:r w:rsidR="00347F07" w:rsidRPr="00347F07">
        <w:rPr>
          <w:rFonts w:ascii="Times New Roman" w:eastAsia="Times New Roman" w:hAnsi="Times New Roman" w:cs="Times New Roman"/>
          <w:i/>
          <w:iCs/>
        </w:rPr>
        <w:t>Litigio interamericano. Perspectiva jurídica del sistema de protección de derechos humanos</w:t>
      </w:r>
      <w:r w:rsidR="00347F07" w:rsidRPr="00347F07">
        <w:rPr>
          <w:rFonts w:ascii="Times New Roman" w:eastAsia="Times New Roman" w:hAnsi="Times New Roman" w:cs="Times New Roman"/>
        </w:rPr>
        <w:t xml:space="preserve"> (Bogotá: Universidad de Bogotá, 2002), 248-52; Crawford, </w:t>
      </w:r>
      <w:r w:rsidR="00347F07" w:rsidRPr="00347F07">
        <w:rPr>
          <w:rFonts w:ascii="Times New Roman" w:eastAsia="Times New Roman" w:hAnsi="Times New Roman" w:cs="Times New Roman"/>
          <w:i/>
          <w:iCs/>
        </w:rPr>
        <w:t>State responsibility. The general part</w:t>
      </w:r>
      <w:r w:rsidR="00347F07" w:rsidRPr="00347F07">
        <w:rPr>
          <w:rFonts w:ascii="Times New Roman" w:eastAsia="Times New Roman" w:hAnsi="Times New Roman" w:cs="Times New Roman"/>
        </w:rPr>
        <w:t>, 481-538.</w:t>
      </w:r>
      <w:r w:rsidR="00C3330D" w:rsidRPr="00347F07">
        <w:rPr>
          <w:rFonts w:ascii="Times New Roman" w:hAnsi="Times New Roman" w:cs="Times New Roman"/>
        </w:rPr>
        <w:fldChar w:fldCharType="end"/>
      </w:r>
      <w:r w:rsidRPr="00347F07">
        <w:rPr>
          <w:rFonts w:ascii="Times New Roman" w:hAnsi="Times New Roman" w:cs="Times New Roman"/>
        </w:rPr>
        <w:t xml:space="preserve"> La Corte IDH, en una posición que consideramos apropiada para una mejor protección de los derechos humanos, ha añadido a dichas medias la cesación de la violación y las garantías de no repetición. </w:t>
      </w:r>
      <w:r w:rsidR="00C3330D" w:rsidRPr="00347F07">
        <w:rPr>
          <w:rFonts w:ascii="Times New Roman" w:hAnsi="Times New Roman" w:cs="Times New Roman"/>
        </w:rPr>
        <w:fldChar w:fldCharType="begin"/>
      </w:r>
      <w:r w:rsidR="00347F07">
        <w:rPr>
          <w:rFonts w:ascii="Times New Roman" w:hAnsi="Times New Roman" w:cs="Times New Roman"/>
        </w:rPr>
        <w:instrText xml:space="preserve"> ADDIN ZOTERO_ITEM CSL_CITATION {"citationID":"H6a55Eka","properties":{"formattedCitation":"{\\rtf Mar\\uc0\\u237{}a Helena Carbonell, \\uc0\\u171{}El deber del Estado de reparar las violaciones de derechos humanos\\uc0\\u187{}, {\\i{}C\\uc0\\u225{}lamo Revista de Estudios Jur\\uc0\\u237{}dicos}, julio de 2014, 143-46.}","plainCitation":"María Helena Carbonell, «El deber del Estado de reparar las violaciones de derechos humanos», Cálamo Revista de Estudios Jurídicos, julio de 2014, 143-46."},"citationItems":[{"id":227,"uris":["http://zotero.org/users/2489424/items/987FTXKI"],"uri":["http://zotero.org/users/2489424/items/987FTXKI"],"itemData":{"id":227,"type":"article-magazine","title":"El deber del Estado de reparar las violaciones de derechos humanos","container-title":"Cálamo Revista de Estudios Jurídicos","page":"137-152","volume":"1","author":[{"family":"Carbonell","given":"María Helena"}],"issued":{"date-parts":[["2014",7]]}},"locator":"143-146"}],"schema":"https://github.com/citation-style-language/schema/raw/master/csl-citation.json"} </w:instrText>
      </w:r>
      <w:r w:rsidR="00C3330D" w:rsidRPr="00347F07">
        <w:rPr>
          <w:rFonts w:ascii="Times New Roman" w:hAnsi="Times New Roman" w:cs="Times New Roman"/>
        </w:rPr>
        <w:fldChar w:fldCharType="separate"/>
      </w:r>
      <w:r w:rsidR="00347F07" w:rsidRPr="00347F07">
        <w:rPr>
          <w:rFonts w:ascii="Times New Roman" w:eastAsia="Times New Roman" w:hAnsi="Times New Roman" w:cs="Times New Roman"/>
        </w:rPr>
        <w:t xml:space="preserve">María Helena Carbonell, «El deber del Estado de reparar las violaciones de derechos humanos», </w:t>
      </w:r>
      <w:r w:rsidR="00347F07" w:rsidRPr="00347F07">
        <w:rPr>
          <w:rFonts w:ascii="Times New Roman" w:eastAsia="Times New Roman" w:hAnsi="Times New Roman" w:cs="Times New Roman"/>
          <w:i/>
          <w:iCs/>
        </w:rPr>
        <w:t>Cálamo Revista de Estudios Jurídicos</w:t>
      </w:r>
      <w:r w:rsidR="00347F07" w:rsidRPr="00347F07">
        <w:rPr>
          <w:rFonts w:ascii="Times New Roman" w:eastAsia="Times New Roman" w:hAnsi="Times New Roman" w:cs="Times New Roman"/>
        </w:rPr>
        <w:t>, julio de 2014, 143-46.</w:t>
      </w:r>
      <w:r w:rsidR="00C3330D" w:rsidRPr="00347F07">
        <w:rPr>
          <w:rFonts w:ascii="Times New Roman" w:hAnsi="Times New Roman" w:cs="Times New Roman"/>
        </w:rPr>
        <w:fldChar w:fldCharType="end"/>
      </w:r>
      <w:r w:rsidRPr="00347F07">
        <w:rPr>
          <w:rFonts w:ascii="Times New Roman" w:hAnsi="Times New Roman" w:cs="Times New Roman"/>
        </w:rPr>
        <w:t xml:space="preserve"> Con la adopción de este enfoque más amplio, la Corte busca la reparación integral de las víctimas de violaciones a los derechos humanos. Así, pueden ordenar el llevar a cabo registros de personas desaparecidas o adoptar ciertas políticas públicas y, para hacerlo, el Estado deberá llevar a cabo los estudios pertinentes. </w:t>
      </w:r>
    </w:p>
    <w:p w:rsidR="00415B9D" w:rsidRDefault="00415B9D" w:rsidP="00347F07">
      <w:pPr>
        <w:widowControl w:val="0"/>
        <w:autoSpaceDE w:val="0"/>
        <w:autoSpaceDN w:val="0"/>
        <w:adjustRightInd w:val="0"/>
        <w:spacing w:after="240"/>
        <w:jc w:val="both"/>
        <w:rPr>
          <w:rFonts w:ascii="Times New Roman" w:hAnsi="Times New Roman" w:cs="Times New Roman"/>
        </w:rPr>
      </w:pPr>
    </w:p>
    <w:p w:rsidR="00415B9D" w:rsidRPr="00415B9D" w:rsidRDefault="00415B9D" w:rsidP="00415B9D">
      <w:pPr>
        <w:jc w:val="both"/>
        <w:rPr>
          <w:rFonts w:ascii="Times New Roman" w:eastAsia="Times New Roman" w:hAnsi="Times New Roman" w:cs="Times New Roman"/>
          <w:lang w:eastAsia="es-ES_tradnl"/>
        </w:rPr>
      </w:pPr>
      <w:r>
        <w:rPr>
          <w:rFonts w:ascii="Times New Roman" w:hAnsi="Times New Roman" w:cs="Times New Roman"/>
        </w:rPr>
        <w:t xml:space="preserve">Finalmente, parece </w:t>
      </w:r>
      <w:r>
        <w:rPr>
          <w:rFonts w:ascii="Times New Roman" w:eastAsia="Times New Roman" w:hAnsi="Times New Roman" w:cs="Times New Roman"/>
          <w:lang w:eastAsia="es-ES_tradnl"/>
        </w:rPr>
        <w:t>útil revisar el Cuadro 2 elaborado por Serrano</w:t>
      </w:r>
      <w:r w:rsidR="0013537D">
        <w:rPr>
          <w:rStyle w:val="Refdenotaalpie"/>
          <w:rFonts w:ascii="Times New Roman" w:eastAsia="Times New Roman" w:hAnsi="Times New Roman" w:cs="Times New Roman"/>
          <w:lang w:eastAsia="es-ES_tradnl"/>
        </w:rPr>
        <w:footnoteReference w:id="3"/>
      </w:r>
      <w:r>
        <w:rPr>
          <w:rFonts w:ascii="Times New Roman" w:eastAsia="Times New Roman" w:hAnsi="Times New Roman" w:cs="Times New Roman"/>
          <w:lang w:eastAsia="es-ES_tradnl"/>
        </w:rPr>
        <w:t xml:space="preserve">. </w:t>
      </w:r>
      <w:r w:rsidRPr="00415B9D">
        <w:rPr>
          <w:rFonts w:ascii="Times New Roman" w:eastAsia="Times New Roman" w:hAnsi="Times New Roman" w:cs="Times New Roman"/>
          <w:lang w:eastAsia="es-ES_tradnl"/>
        </w:rPr>
        <w:t>Este cuadro se presenta un resumen en cuanto a las obligaciones de los derechos humanos</w:t>
      </w:r>
      <w:bookmarkStart w:id="0" w:name="_GoBack"/>
      <w:bookmarkEnd w:id="0"/>
      <w:r w:rsidRPr="00415B9D">
        <w:rPr>
          <w:rFonts w:ascii="Times New Roman" w:eastAsia="Times New Roman" w:hAnsi="Times New Roman" w:cs="Times New Roman"/>
          <w:lang w:eastAsia="es-ES_tradnl"/>
        </w:rPr>
        <w:t xml:space="preserve"> desde otra óptica</w:t>
      </w:r>
      <w:r>
        <w:rPr>
          <w:rFonts w:ascii="Times New Roman" w:eastAsia="Times New Roman" w:hAnsi="Times New Roman" w:cs="Times New Roman"/>
          <w:lang w:eastAsia="es-ES_tradnl"/>
        </w:rPr>
        <w:t>:</w:t>
      </w:r>
    </w:p>
    <w:p w:rsidR="00415B9D" w:rsidRPr="00415B9D" w:rsidRDefault="00415B9D" w:rsidP="00415B9D">
      <w:pPr>
        <w:jc w:val="both"/>
        <w:rPr>
          <w:rFonts w:ascii="Times New Roman" w:eastAsia="Times New Roman" w:hAnsi="Times New Roman" w:cs="Times New Roman"/>
          <w:b/>
          <w:lang w:eastAsia="es-ES_tradnl"/>
        </w:rPr>
      </w:pPr>
    </w:p>
    <w:tbl>
      <w:tblPr>
        <w:tblStyle w:val="Tablaconcuadrcula"/>
        <w:tblW w:w="0" w:type="auto"/>
        <w:tblLook w:val="04A0"/>
      </w:tblPr>
      <w:tblGrid>
        <w:gridCol w:w="1675"/>
        <w:gridCol w:w="1326"/>
        <w:gridCol w:w="1370"/>
        <w:gridCol w:w="1456"/>
        <w:gridCol w:w="1315"/>
        <w:gridCol w:w="1346"/>
      </w:tblGrid>
      <w:tr w:rsidR="00F34911" w:rsidTr="00F34911">
        <w:tc>
          <w:tcPr>
            <w:tcW w:w="8488" w:type="dxa"/>
            <w:gridSpan w:val="6"/>
            <w:shd w:val="clear" w:color="auto" w:fill="E7E6E6" w:themeFill="background2"/>
          </w:tcPr>
          <w:p w:rsidR="00F34911" w:rsidRDefault="00F34911" w:rsidP="00F34911">
            <w:pPr>
              <w:jc w:val="center"/>
            </w:pPr>
            <w:r>
              <w:t>TIPOLOGIA DE LAS OBLIGACIONES DEL DIDH</w:t>
            </w:r>
          </w:p>
        </w:tc>
      </w:tr>
      <w:tr w:rsidR="00F34911" w:rsidTr="00F34911">
        <w:tc>
          <w:tcPr>
            <w:tcW w:w="1675" w:type="dxa"/>
            <w:shd w:val="clear" w:color="auto" w:fill="E7E6E6" w:themeFill="background2"/>
          </w:tcPr>
          <w:p w:rsidR="00F34911" w:rsidRDefault="00F34911" w:rsidP="00F34911">
            <w:pPr>
              <w:jc w:val="center"/>
            </w:pPr>
            <w:r>
              <w:t>PROPUESTA DE</w:t>
            </w:r>
          </w:p>
        </w:tc>
        <w:tc>
          <w:tcPr>
            <w:tcW w:w="6813" w:type="dxa"/>
            <w:gridSpan w:val="5"/>
            <w:shd w:val="clear" w:color="auto" w:fill="E7E6E6" w:themeFill="background2"/>
          </w:tcPr>
          <w:p w:rsidR="00F34911" w:rsidRDefault="00F34911" w:rsidP="00F34911">
            <w:pPr>
              <w:jc w:val="center"/>
            </w:pPr>
            <w:r>
              <w:t>DEBERES DE</w:t>
            </w:r>
          </w:p>
        </w:tc>
      </w:tr>
      <w:tr w:rsidR="00F34911" w:rsidTr="0094525B">
        <w:tc>
          <w:tcPr>
            <w:tcW w:w="1675" w:type="dxa"/>
          </w:tcPr>
          <w:p w:rsidR="00F34911" w:rsidRDefault="00F34911" w:rsidP="0094525B">
            <w:r>
              <w:t>Shue</w:t>
            </w:r>
          </w:p>
        </w:tc>
        <w:tc>
          <w:tcPr>
            <w:tcW w:w="1326" w:type="dxa"/>
          </w:tcPr>
          <w:p w:rsidR="00F34911" w:rsidRDefault="00F34911" w:rsidP="0094525B">
            <w:r>
              <w:t>No privación</w:t>
            </w:r>
          </w:p>
        </w:tc>
        <w:tc>
          <w:tcPr>
            <w:tcW w:w="1370" w:type="dxa"/>
          </w:tcPr>
          <w:p w:rsidR="00F34911" w:rsidRDefault="00F34911" w:rsidP="0094525B">
            <w:r>
              <w:t>Protección de la privación</w:t>
            </w:r>
          </w:p>
        </w:tc>
        <w:tc>
          <w:tcPr>
            <w:tcW w:w="4117" w:type="dxa"/>
            <w:gridSpan w:val="3"/>
          </w:tcPr>
          <w:p w:rsidR="00F34911" w:rsidRDefault="00F34911" w:rsidP="0094525B">
            <w:r>
              <w:t>Ayudar a los que están privados de bienes básicos</w:t>
            </w:r>
          </w:p>
        </w:tc>
      </w:tr>
      <w:tr w:rsidR="00F34911" w:rsidTr="0094525B">
        <w:tc>
          <w:tcPr>
            <w:tcW w:w="1675" w:type="dxa"/>
          </w:tcPr>
          <w:p w:rsidR="00F34911" w:rsidRDefault="00F34911" w:rsidP="0094525B">
            <w:r>
              <w:lastRenderedPageBreak/>
              <w:t>Van Hoof</w:t>
            </w:r>
          </w:p>
        </w:tc>
        <w:tc>
          <w:tcPr>
            <w:tcW w:w="1326" w:type="dxa"/>
          </w:tcPr>
          <w:p w:rsidR="00F34911" w:rsidRDefault="00F34911" w:rsidP="0094525B">
            <w:r>
              <w:t>Respetar</w:t>
            </w:r>
          </w:p>
        </w:tc>
        <w:tc>
          <w:tcPr>
            <w:tcW w:w="1370" w:type="dxa"/>
          </w:tcPr>
          <w:p w:rsidR="00F34911" w:rsidRDefault="00F34911" w:rsidP="0094525B">
            <w:r>
              <w:t>proteger</w:t>
            </w:r>
          </w:p>
        </w:tc>
        <w:tc>
          <w:tcPr>
            <w:tcW w:w="2771" w:type="dxa"/>
            <w:gridSpan w:val="2"/>
          </w:tcPr>
          <w:p w:rsidR="00F34911" w:rsidRDefault="00F34911" w:rsidP="0094525B">
            <w:r>
              <w:t>asegurar</w:t>
            </w:r>
          </w:p>
        </w:tc>
        <w:tc>
          <w:tcPr>
            <w:tcW w:w="1346" w:type="dxa"/>
          </w:tcPr>
          <w:p w:rsidR="00F34911" w:rsidRDefault="00F34911" w:rsidP="0094525B">
            <w:r>
              <w:t>Promover</w:t>
            </w:r>
          </w:p>
        </w:tc>
      </w:tr>
      <w:tr w:rsidR="00F34911" w:rsidTr="0094525B">
        <w:tc>
          <w:tcPr>
            <w:tcW w:w="1675" w:type="dxa"/>
          </w:tcPr>
          <w:p w:rsidR="00F34911" w:rsidRDefault="00F34911" w:rsidP="0094525B">
            <w:r>
              <w:t>Steiner y Alston</w:t>
            </w:r>
          </w:p>
        </w:tc>
        <w:tc>
          <w:tcPr>
            <w:tcW w:w="1326" w:type="dxa"/>
          </w:tcPr>
          <w:p w:rsidR="00F34911" w:rsidRDefault="00F34911" w:rsidP="0094525B">
            <w:r>
              <w:t>Respetar</w:t>
            </w:r>
          </w:p>
        </w:tc>
        <w:tc>
          <w:tcPr>
            <w:tcW w:w="1370" w:type="dxa"/>
          </w:tcPr>
          <w:p w:rsidR="00F34911" w:rsidRDefault="00F34911" w:rsidP="0094525B">
            <w:r>
              <w:t>Proteger / prevenir</w:t>
            </w:r>
          </w:p>
        </w:tc>
        <w:tc>
          <w:tcPr>
            <w:tcW w:w="1456" w:type="dxa"/>
          </w:tcPr>
          <w:p w:rsidR="00F34911" w:rsidRDefault="00F34911" w:rsidP="0094525B">
            <w:r>
              <w:t>Crear maquinaria institucional</w:t>
            </w:r>
          </w:p>
        </w:tc>
        <w:tc>
          <w:tcPr>
            <w:tcW w:w="1315" w:type="dxa"/>
          </w:tcPr>
          <w:p w:rsidR="00F34911" w:rsidRDefault="00F34911" w:rsidP="0094525B">
            <w:r>
              <w:t>Proveer bienes y servicios</w:t>
            </w:r>
          </w:p>
        </w:tc>
        <w:tc>
          <w:tcPr>
            <w:tcW w:w="1346" w:type="dxa"/>
          </w:tcPr>
          <w:p w:rsidR="00F34911" w:rsidRDefault="00F34911" w:rsidP="0094525B">
            <w:r>
              <w:t>Promover</w:t>
            </w:r>
          </w:p>
        </w:tc>
      </w:tr>
      <w:tr w:rsidR="00F34911" w:rsidTr="0094525B">
        <w:tc>
          <w:tcPr>
            <w:tcW w:w="1675" w:type="dxa"/>
            <w:vMerge w:val="restart"/>
          </w:tcPr>
          <w:p w:rsidR="00F34911" w:rsidRDefault="00F34911" w:rsidP="0094525B">
            <w:r>
              <w:t>Comité DESC</w:t>
            </w:r>
          </w:p>
        </w:tc>
        <w:tc>
          <w:tcPr>
            <w:tcW w:w="1326" w:type="dxa"/>
            <w:vMerge w:val="restart"/>
          </w:tcPr>
          <w:p w:rsidR="00F34911" w:rsidRDefault="00F34911" w:rsidP="0094525B">
            <w:r>
              <w:t>respetar</w:t>
            </w:r>
          </w:p>
        </w:tc>
        <w:tc>
          <w:tcPr>
            <w:tcW w:w="1370" w:type="dxa"/>
            <w:vMerge w:val="restart"/>
          </w:tcPr>
          <w:p w:rsidR="00F34911" w:rsidRDefault="00F34911" w:rsidP="0094525B">
            <w:r>
              <w:t>proteger</w:t>
            </w:r>
          </w:p>
        </w:tc>
        <w:tc>
          <w:tcPr>
            <w:tcW w:w="4117" w:type="dxa"/>
            <w:gridSpan w:val="3"/>
          </w:tcPr>
          <w:p w:rsidR="00F34911" w:rsidRDefault="00F34911" w:rsidP="0094525B">
            <w:r>
              <w:t>cumplir</w:t>
            </w:r>
          </w:p>
        </w:tc>
      </w:tr>
      <w:tr w:rsidR="00F34911" w:rsidTr="0094525B">
        <w:tc>
          <w:tcPr>
            <w:tcW w:w="1675" w:type="dxa"/>
            <w:vMerge/>
          </w:tcPr>
          <w:p w:rsidR="00F34911" w:rsidRDefault="00F34911" w:rsidP="0094525B"/>
        </w:tc>
        <w:tc>
          <w:tcPr>
            <w:tcW w:w="1326" w:type="dxa"/>
            <w:vMerge/>
          </w:tcPr>
          <w:p w:rsidR="00F34911" w:rsidRDefault="00F34911" w:rsidP="0094525B"/>
        </w:tc>
        <w:tc>
          <w:tcPr>
            <w:tcW w:w="1370" w:type="dxa"/>
            <w:vMerge/>
          </w:tcPr>
          <w:p w:rsidR="00F34911" w:rsidRDefault="00F34911" w:rsidP="0094525B"/>
        </w:tc>
        <w:tc>
          <w:tcPr>
            <w:tcW w:w="1456" w:type="dxa"/>
          </w:tcPr>
          <w:p w:rsidR="00F34911" w:rsidRDefault="00F34911" w:rsidP="0094525B">
            <w:r>
              <w:t>satisfacer</w:t>
            </w:r>
          </w:p>
        </w:tc>
        <w:tc>
          <w:tcPr>
            <w:tcW w:w="1315" w:type="dxa"/>
          </w:tcPr>
          <w:p w:rsidR="00F34911" w:rsidRDefault="00F34911" w:rsidP="0094525B">
            <w:r>
              <w:t>proveer</w:t>
            </w:r>
          </w:p>
        </w:tc>
        <w:tc>
          <w:tcPr>
            <w:tcW w:w="1346" w:type="dxa"/>
          </w:tcPr>
          <w:p w:rsidR="00F34911" w:rsidRDefault="00F34911" w:rsidP="0094525B">
            <w:r>
              <w:t>Promover</w:t>
            </w:r>
          </w:p>
        </w:tc>
      </w:tr>
      <w:tr w:rsidR="00F34911" w:rsidTr="0094525B">
        <w:trPr>
          <w:trHeight w:val="264"/>
        </w:trPr>
        <w:tc>
          <w:tcPr>
            <w:tcW w:w="1675" w:type="dxa"/>
            <w:vMerge w:val="restart"/>
          </w:tcPr>
          <w:p w:rsidR="00F34911" w:rsidRDefault="00F34911" w:rsidP="0094525B">
            <w:r>
              <w:t>Comité DH</w:t>
            </w:r>
          </w:p>
        </w:tc>
        <w:tc>
          <w:tcPr>
            <w:tcW w:w="1326" w:type="dxa"/>
            <w:vMerge w:val="restart"/>
          </w:tcPr>
          <w:p w:rsidR="00F34911" w:rsidRDefault="00F34911" w:rsidP="0094525B">
            <w:r>
              <w:t>respetar</w:t>
            </w:r>
          </w:p>
        </w:tc>
        <w:tc>
          <w:tcPr>
            <w:tcW w:w="5487" w:type="dxa"/>
            <w:gridSpan w:val="4"/>
          </w:tcPr>
          <w:p w:rsidR="00F34911" w:rsidRDefault="00F34911" w:rsidP="0094525B">
            <w:r>
              <w:t>Garantizar y adoptar medidas</w:t>
            </w:r>
          </w:p>
        </w:tc>
      </w:tr>
      <w:tr w:rsidR="00F34911" w:rsidTr="0094525B">
        <w:trPr>
          <w:trHeight w:val="264"/>
        </w:trPr>
        <w:tc>
          <w:tcPr>
            <w:tcW w:w="1675" w:type="dxa"/>
            <w:vMerge/>
          </w:tcPr>
          <w:p w:rsidR="00F34911" w:rsidRDefault="00F34911" w:rsidP="0094525B"/>
        </w:tc>
        <w:tc>
          <w:tcPr>
            <w:tcW w:w="1326" w:type="dxa"/>
            <w:vMerge/>
          </w:tcPr>
          <w:p w:rsidR="00F34911" w:rsidRDefault="00F34911" w:rsidP="0094525B"/>
        </w:tc>
        <w:tc>
          <w:tcPr>
            <w:tcW w:w="1370" w:type="dxa"/>
          </w:tcPr>
          <w:p w:rsidR="00F34911" w:rsidRDefault="00F34911" w:rsidP="0094525B">
            <w:r>
              <w:t>proteger</w:t>
            </w:r>
          </w:p>
        </w:tc>
        <w:tc>
          <w:tcPr>
            <w:tcW w:w="1456" w:type="dxa"/>
          </w:tcPr>
          <w:p w:rsidR="00F34911" w:rsidRDefault="00F34911" w:rsidP="0094525B">
            <w:r>
              <w:t>asegurar</w:t>
            </w:r>
          </w:p>
        </w:tc>
        <w:tc>
          <w:tcPr>
            <w:tcW w:w="1315" w:type="dxa"/>
          </w:tcPr>
          <w:p w:rsidR="00F34911" w:rsidRDefault="00F34911" w:rsidP="0094525B">
            <w:r>
              <w:t>promover</w:t>
            </w:r>
          </w:p>
        </w:tc>
        <w:tc>
          <w:tcPr>
            <w:tcW w:w="1346" w:type="dxa"/>
          </w:tcPr>
          <w:p w:rsidR="00F34911" w:rsidRDefault="00F34911" w:rsidP="0094525B"/>
        </w:tc>
      </w:tr>
      <w:tr w:rsidR="00F34911" w:rsidTr="0094525B">
        <w:trPr>
          <w:trHeight w:val="264"/>
        </w:trPr>
        <w:tc>
          <w:tcPr>
            <w:tcW w:w="1675" w:type="dxa"/>
            <w:vMerge w:val="restart"/>
          </w:tcPr>
          <w:p w:rsidR="00F34911" w:rsidRDefault="00F34911" w:rsidP="0094525B">
            <w:r>
              <w:t>Corte IDH</w:t>
            </w:r>
          </w:p>
        </w:tc>
        <w:tc>
          <w:tcPr>
            <w:tcW w:w="1326" w:type="dxa"/>
            <w:vMerge w:val="restart"/>
          </w:tcPr>
          <w:p w:rsidR="00F34911" w:rsidRDefault="00F34911" w:rsidP="0094525B">
            <w:r>
              <w:t>respetar</w:t>
            </w:r>
          </w:p>
        </w:tc>
        <w:tc>
          <w:tcPr>
            <w:tcW w:w="5487" w:type="dxa"/>
            <w:gridSpan w:val="4"/>
          </w:tcPr>
          <w:p w:rsidR="00F34911" w:rsidRDefault="00F34911" w:rsidP="0094525B">
            <w:r>
              <w:t>Garantizar y adoptar medidas</w:t>
            </w:r>
          </w:p>
        </w:tc>
      </w:tr>
      <w:tr w:rsidR="00F34911" w:rsidTr="0094525B">
        <w:trPr>
          <w:trHeight w:val="264"/>
        </w:trPr>
        <w:tc>
          <w:tcPr>
            <w:tcW w:w="1675" w:type="dxa"/>
            <w:vMerge/>
          </w:tcPr>
          <w:p w:rsidR="00F34911" w:rsidRDefault="00F34911" w:rsidP="0094525B"/>
        </w:tc>
        <w:tc>
          <w:tcPr>
            <w:tcW w:w="1326" w:type="dxa"/>
            <w:vMerge/>
          </w:tcPr>
          <w:p w:rsidR="00F34911" w:rsidRDefault="00F34911" w:rsidP="0094525B"/>
        </w:tc>
        <w:tc>
          <w:tcPr>
            <w:tcW w:w="1370" w:type="dxa"/>
          </w:tcPr>
          <w:p w:rsidR="00F34911" w:rsidRDefault="00F34911" w:rsidP="0094525B">
            <w:r>
              <w:t>proteger</w:t>
            </w:r>
          </w:p>
        </w:tc>
        <w:tc>
          <w:tcPr>
            <w:tcW w:w="2771" w:type="dxa"/>
            <w:gridSpan w:val="2"/>
          </w:tcPr>
          <w:p w:rsidR="00F34911" w:rsidRDefault="00F34911" w:rsidP="0094525B">
            <w:r>
              <w:t>Crear instituciones e investigar, sancionar y reparar</w:t>
            </w:r>
          </w:p>
        </w:tc>
        <w:tc>
          <w:tcPr>
            <w:tcW w:w="1346" w:type="dxa"/>
          </w:tcPr>
          <w:p w:rsidR="00F34911" w:rsidRDefault="00F34911" w:rsidP="0094525B">
            <w:r>
              <w:t>promover</w:t>
            </w:r>
          </w:p>
        </w:tc>
      </w:tr>
    </w:tbl>
    <w:p w:rsidR="00415B9D" w:rsidRDefault="00415B9D" w:rsidP="00415B9D">
      <w:pPr>
        <w:jc w:val="both"/>
        <w:rPr>
          <w:rFonts w:ascii="Times New Roman" w:eastAsia="Times New Roman" w:hAnsi="Times New Roman" w:cs="Times New Roman"/>
          <w:lang w:eastAsia="es-ES_tradnl"/>
        </w:rPr>
      </w:pPr>
    </w:p>
    <w:p w:rsidR="00F34911" w:rsidRPr="00415B9D" w:rsidRDefault="00F34911" w:rsidP="00415B9D">
      <w:p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Cuadro 2: diferentes teorías relativas a las obligaciones de los derechos humanos</w:t>
      </w:r>
    </w:p>
    <w:p w:rsidR="00415B9D" w:rsidRDefault="00415B9D" w:rsidP="00415B9D">
      <w:pPr>
        <w:jc w:val="both"/>
      </w:pPr>
    </w:p>
    <w:p w:rsidR="00415B9D" w:rsidRDefault="00415B9D" w:rsidP="00415B9D">
      <w:pPr>
        <w:jc w:val="both"/>
      </w:pPr>
    </w:p>
    <w:p w:rsidR="00415B9D" w:rsidRDefault="00415B9D" w:rsidP="00415B9D">
      <w:pPr>
        <w:jc w:val="both"/>
      </w:pPr>
    </w:p>
    <w:p w:rsidR="00415B9D" w:rsidRPr="00347F07" w:rsidRDefault="00415B9D" w:rsidP="00347F07">
      <w:pPr>
        <w:widowControl w:val="0"/>
        <w:autoSpaceDE w:val="0"/>
        <w:autoSpaceDN w:val="0"/>
        <w:adjustRightInd w:val="0"/>
        <w:spacing w:after="240"/>
        <w:jc w:val="both"/>
        <w:rPr>
          <w:rFonts w:ascii="Times New Roman" w:hAnsi="Times New Roman" w:cs="Times New Roman"/>
        </w:rPr>
      </w:pPr>
    </w:p>
    <w:p w:rsidR="009F2B47" w:rsidRPr="00347F07" w:rsidRDefault="009F2B47" w:rsidP="00347F07">
      <w:pPr>
        <w:jc w:val="both"/>
        <w:rPr>
          <w:rFonts w:ascii="Times New Roman" w:hAnsi="Times New Roman" w:cs="Times New Roman"/>
        </w:rPr>
      </w:pPr>
    </w:p>
    <w:sectPr w:rsidR="009F2B47" w:rsidRPr="00347F07" w:rsidSect="006F0F6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88F" w:rsidRDefault="00A0488F" w:rsidP="00347F07">
      <w:r>
        <w:separator/>
      </w:r>
    </w:p>
  </w:endnote>
  <w:endnote w:type="continuationSeparator" w:id="1">
    <w:p w:rsidR="00A0488F" w:rsidRDefault="00A0488F" w:rsidP="0034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88F" w:rsidRDefault="00A0488F" w:rsidP="00347F07">
      <w:r>
        <w:separator/>
      </w:r>
    </w:p>
  </w:footnote>
  <w:footnote w:type="continuationSeparator" w:id="1">
    <w:p w:rsidR="00A0488F" w:rsidRDefault="00A0488F" w:rsidP="00347F07">
      <w:r>
        <w:continuationSeparator/>
      </w:r>
    </w:p>
  </w:footnote>
  <w:footnote w:id="2">
    <w:p w:rsidR="00347F07" w:rsidRPr="00347F07" w:rsidRDefault="00347F07">
      <w:pPr>
        <w:pStyle w:val="Textonotapie"/>
      </w:pPr>
      <w:r>
        <w:rPr>
          <w:rStyle w:val="Refdenotaalpie"/>
        </w:rPr>
        <w:footnoteRef/>
      </w:r>
      <w:r w:rsidR="00C3330D">
        <w:fldChar w:fldCharType="begin"/>
      </w:r>
      <w:r>
        <w:instrText xml:space="preserve"> ADDIN ZOTERO_ITEM CSL_CITATION {"citationID":"wN8uHw24","properties":{"formattedCitation":"{\\rtf Mar\\uc0\\u237{}a Helena Carbonell, \\uc0\\u171{}Est\\uc0\\u225{}ndares internacionales para la administraci\\uc0\\u243{}n de justicia. An\\uc0\\u225{}lisis del caso conocido como Fybeca\\uc0\\u187{}, {\\i{}C\\uc0\\u225{}lamo}, n.\\super o\\nosupersub{} II (diciembre de 2014): 75-91.}","plainCitation":"María Helena Carbonell, «Estándares internacionales para la administración de justicia. Análisis del caso conocido como Fybeca», Cálamo, n.o II (diciembre de 2014): 75-91."},"citationItems":[{"id":164,"uris":["http://zotero.org/users/2489424/items/7Q8NQFF4"],"uri":["http://zotero.org/users/2489424/items/7Q8NQFF4"],"itemData":{"id":164,"type":"article-journal","title":"Estándares internacionales para la administración de justicia. Análisis del caso conocido como Fybeca","container-title":"Cálamo","page":"75-91","issue":"II","author":[{"family":"Carbonell","given":"María Helena"}],"issued":{"date-parts":[["2014"]],"season":"diciembre"}}}],"schema":"https://github.com/citation-style-language/schema/raw/master/csl-citation.json"} </w:instrText>
      </w:r>
      <w:r w:rsidR="00C3330D">
        <w:fldChar w:fldCharType="separate"/>
      </w:r>
      <w:r w:rsidRPr="00347F07">
        <w:rPr>
          <w:rFonts w:ascii="Calibri" w:eastAsia="Times New Roman" w:cs="Times New Roman"/>
        </w:rPr>
        <w:t xml:space="preserve">María Helena Carbonell, «Estándares internacionales para la administración de justicia. Análisis del caso conocido como Fybeca», </w:t>
      </w:r>
      <w:r w:rsidRPr="00347F07">
        <w:rPr>
          <w:rFonts w:ascii="Calibri" w:eastAsia="Times New Roman" w:cs="Times New Roman"/>
          <w:i/>
          <w:iCs/>
        </w:rPr>
        <w:t>Cálamo</w:t>
      </w:r>
      <w:r w:rsidRPr="00347F07">
        <w:rPr>
          <w:rFonts w:ascii="Calibri" w:eastAsia="Times New Roman" w:cs="Times New Roman"/>
        </w:rPr>
        <w:t>, n.</w:t>
      </w:r>
      <w:r w:rsidRPr="00347F07">
        <w:rPr>
          <w:rFonts w:ascii="Calibri" w:eastAsia="Times New Roman" w:cs="Times New Roman"/>
          <w:vertAlign w:val="superscript"/>
        </w:rPr>
        <w:t>o</w:t>
      </w:r>
      <w:r w:rsidRPr="00347F07">
        <w:rPr>
          <w:rFonts w:ascii="Calibri" w:eastAsia="Times New Roman" w:cs="Times New Roman"/>
        </w:rPr>
        <w:t xml:space="preserve"> II (diciembre de 2014): 75-91.</w:t>
      </w:r>
      <w:r w:rsidR="00C3330D">
        <w:fldChar w:fldCharType="end"/>
      </w:r>
    </w:p>
  </w:footnote>
  <w:footnote w:id="3">
    <w:p w:rsidR="0013537D" w:rsidRPr="0013537D" w:rsidRDefault="0013537D">
      <w:pPr>
        <w:pStyle w:val="Textonotapie"/>
      </w:pPr>
      <w:r>
        <w:rPr>
          <w:rStyle w:val="Refdenotaalpie"/>
        </w:rPr>
        <w:footnoteRef/>
      </w:r>
      <w:r w:rsidR="00C3330D">
        <w:fldChar w:fldCharType="begin"/>
      </w:r>
      <w:r>
        <w:instrText xml:space="preserve"> ADDIN ZOTERO_ITEM CSL_CITATION {"citationID":"wmjokka7","properties":{"formattedCitation":"{\\rtf Sandra, \\uc0\\u171{}Obligaciones del Estado frente a los derechos humanos y sus principios rectores: una relaci\\uc0\\u243{}n para la interpretaci\\uc0\\u243{}n y aplicaci\\uc0\\u243{}n de los derechos\\uc0\\u187{}, en {\\i{}Derechos humanos en la Constituci\\uc0\\u243{}n: comentarios en jurisprudencia constitucional e interamericana} (M\\uc0\\u233{}xico: FKAS/UNAM/IIJ de la Suprema Corte de la Naci\\uc0\\u243{}n, 2013), 105.}","plainCitation":"Sandra, «Obligaciones del Estado frente a los derechos humanos y sus principios rectores: una relación para la interpretación y aplicación de los derechos», en Derechos humanos en la Constitución: comentarios en jurisprudencia constitucional e interamericana (México: FKAS/UNAM/IIJ de la Suprema Corte de la Nación, 2013), 105."},"citationItems":[{"id":641,"uris":["http://zotero.org/users/2489424/items/CCNX3R8F"],"uri":["http://zotero.org/users/2489424/items/CCNX3R8F"],"itemData":{"id":641,"type":"chapter","title":"Obligaciones del Estado frente a los derechos humanos y sus principios rectores: una relación para la interpretación y aplicación de los derechos","container-title":"Derechos humanos en la Constitución: comentarios en jurisprudencia constitucional e interamericana","publisher":"FKAS/UNAM/IIJ de la Suprema Corte de la Nación","publisher-place":"México","event-place":"México","author":[{"family":"Sandra","given":""}],"issued":{"date-parts":[["2013"]]}},"locator":"105"}],"schema":"https://github.com/citation-style-language/schema/raw/master/csl-citation.json"} </w:instrText>
      </w:r>
      <w:r w:rsidR="00C3330D">
        <w:fldChar w:fldCharType="separate"/>
      </w:r>
      <w:r w:rsidRPr="0013537D">
        <w:rPr>
          <w:rFonts w:ascii="Calibri" w:eastAsia="Times New Roman" w:cs="Times New Roman"/>
        </w:rPr>
        <w:t xml:space="preserve">Sandra, «Obligaciones del Estado frente a los derechos humanos y sus principios rectores: una relación para la interpretación y aplicación de los derechos», en </w:t>
      </w:r>
      <w:r w:rsidRPr="0013537D">
        <w:rPr>
          <w:rFonts w:ascii="Calibri" w:eastAsia="Times New Roman" w:cs="Times New Roman"/>
          <w:i/>
          <w:iCs/>
        </w:rPr>
        <w:t>Derechos humanos en la Constitución: comentarios en jurisprudencia constitucional e interamericana</w:t>
      </w:r>
      <w:r w:rsidRPr="0013537D">
        <w:rPr>
          <w:rFonts w:ascii="Calibri" w:eastAsia="Times New Roman" w:cs="Times New Roman"/>
        </w:rPr>
        <w:t xml:space="preserve"> (México: FKAS/UNAM/IIJ de la Suprema Corte de la Nación, 2013), 105.</w:t>
      </w:r>
      <w:r w:rsidR="00C3330D">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C55"/>
    <w:multiLevelType w:val="hybridMultilevel"/>
    <w:tmpl w:val="AF144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E6296A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5B1270"/>
    <w:rsid w:val="0013537D"/>
    <w:rsid w:val="00204AF5"/>
    <w:rsid w:val="002C0419"/>
    <w:rsid w:val="00347F07"/>
    <w:rsid w:val="003E001D"/>
    <w:rsid w:val="00415B9D"/>
    <w:rsid w:val="005B1270"/>
    <w:rsid w:val="006F0F67"/>
    <w:rsid w:val="00992070"/>
    <w:rsid w:val="009F2B47"/>
    <w:rsid w:val="00A0488F"/>
    <w:rsid w:val="00A965E8"/>
    <w:rsid w:val="00C3330D"/>
    <w:rsid w:val="00F34911"/>
    <w:rsid w:val="00FB622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1270"/>
    <w:rPr>
      <w:rFonts w:eastAsiaTheme="minorEastAsia"/>
      <w:lang w:val="en-US"/>
    </w:rPr>
  </w:style>
  <w:style w:type="paragraph" w:styleId="Prrafodelista">
    <w:name w:val="List Paragraph"/>
    <w:basedOn w:val="Normal"/>
    <w:uiPriority w:val="34"/>
    <w:qFormat/>
    <w:rsid w:val="009F2B47"/>
    <w:pPr>
      <w:spacing w:line="360" w:lineRule="auto"/>
      <w:ind w:left="720" w:firstLine="680"/>
      <w:contextualSpacing/>
      <w:jc w:val="both"/>
    </w:pPr>
    <w:rPr>
      <w:rFonts w:ascii="Times New Roman" w:eastAsiaTheme="minorEastAsia" w:hAnsi="Times New Roman"/>
      <w:lang w:val="es-ES" w:eastAsia="es-ES"/>
    </w:rPr>
  </w:style>
  <w:style w:type="paragraph" w:styleId="Textonotapie">
    <w:name w:val="footnote text"/>
    <w:basedOn w:val="Normal"/>
    <w:link w:val="TextonotapieCar"/>
    <w:uiPriority w:val="99"/>
    <w:unhideWhenUsed/>
    <w:rsid w:val="00347F07"/>
  </w:style>
  <w:style w:type="character" w:customStyle="1" w:styleId="TextonotapieCar">
    <w:name w:val="Texto nota pie Car"/>
    <w:basedOn w:val="Fuentedeprrafopredeter"/>
    <w:link w:val="Textonotapie"/>
    <w:uiPriority w:val="99"/>
    <w:rsid w:val="00347F07"/>
  </w:style>
  <w:style w:type="character" w:styleId="Refdenotaalpie">
    <w:name w:val="footnote reference"/>
    <w:basedOn w:val="Fuentedeprrafopredeter"/>
    <w:uiPriority w:val="99"/>
    <w:unhideWhenUsed/>
    <w:rsid w:val="00347F07"/>
    <w:rPr>
      <w:vertAlign w:val="superscript"/>
    </w:rPr>
  </w:style>
  <w:style w:type="table" w:styleId="Tablaconcuadrcula">
    <w:name w:val="Table Grid"/>
    <w:basedOn w:val="Tablanormal"/>
    <w:uiPriority w:val="39"/>
    <w:rsid w:val="00415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422721">
      <w:bodyDiv w:val="1"/>
      <w:marLeft w:val="0"/>
      <w:marRight w:val="0"/>
      <w:marTop w:val="0"/>
      <w:marBottom w:val="0"/>
      <w:divBdr>
        <w:top w:val="none" w:sz="0" w:space="0" w:color="auto"/>
        <w:left w:val="none" w:sz="0" w:space="0" w:color="auto"/>
        <w:bottom w:val="none" w:sz="0" w:space="0" w:color="auto"/>
        <w:right w:val="none" w:sz="0" w:space="0" w:color="auto"/>
      </w:divBdr>
    </w:div>
    <w:div w:id="736587033">
      <w:bodyDiv w:val="1"/>
      <w:marLeft w:val="0"/>
      <w:marRight w:val="0"/>
      <w:marTop w:val="0"/>
      <w:marBottom w:val="0"/>
      <w:divBdr>
        <w:top w:val="none" w:sz="0" w:space="0" w:color="auto"/>
        <w:left w:val="none" w:sz="0" w:space="0" w:color="auto"/>
        <w:bottom w:val="none" w:sz="0" w:space="0" w:color="auto"/>
        <w:right w:val="none" w:sz="0" w:space="0" w:color="auto"/>
      </w:divBdr>
    </w:div>
    <w:div w:id="928848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5100</Words>
  <Characters>28052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moniKa Asiri</cp:lastModifiedBy>
  <cp:revision>2</cp:revision>
  <dcterms:created xsi:type="dcterms:W3CDTF">2017-11-30T22:17:00Z</dcterms:created>
  <dcterms:modified xsi:type="dcterms:W3CDTF">2017-11-30T22:17:00Z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id="jVDBsVf4"/&gt;&lt;style id="http://www.zotero.org/styles/chicago-fullnote-bibliography" locale="es-ES"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