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A673D" w14:textId="3EB9AE2E" w:rsidR="006223A3" w:rsidRPr="00BB2384" w:rsidRDefault="00331226" w:rsidP="00E76646">
      <w:pPr>
        <w:jc w:val="center"/>
        <w:rPr>
          <w:rFonts w:ascii="Arial" w:eastAsia="Times New Roman" w:hAnsi="Arial" w:cs="Arial"/>
          <w:b/>
          <w:color w:val="000000"/>
          <w:sz w:val="21"/>
          <w:szCs w:val="21"/>
        </w:rPr>
      </w:pPr>
      <w:bookmarkStart w:id="0" w:name="_GoBack"/>
      <w:bookmarkEnd w:id="0"/>
      <w:r w:rsidRPr="00BB2384">
        <w:rPr>
          <w:rFonts w:ascii="Arial" w:eastAsia="Times New Roman" w:hAnsi="Arial"/>
          <w:b/>
          <w:color w:val="000000"/>
          <w:sz w:val="21"/>
          <w:szCs w:val="21"/>
        </w:rPr>
        <w:t>INFORMACIÓN IMPORTANTE P</w:t>
      </w:r>
      <w:r w:rsidR="004A380F" w:rsidRPr="00BB2384">
        <w:rPr>
          <w:rFonts w:ascii="Arial" w:eastAsia="Times New Roman" w:hAnsi="Arial" w:cs="Arial"/>
          <w:b/>
          <w:color w:val="000000"/>
          <w:sz w:val="21"/>
          <w:szCs w:val="21"/>
        </w:rPr>
        <w:t>ARA PACIENTES IDENTIFICADOS MEDIANTE TRIAGE MÉDICO QUE HAN SUFRIDO EVENTO TRAUMÁTICO OSTEOARTICULAR</w:t>
      </w:r>
    </w:p>
    <w:p w14:paraId="572DA247" w14:textId="77777777" w:rsidR="00E76646" w:rsidRDefault="00E76646">
      <w:pPr>
        <w:rPr>
          <w:rFonts w:ascii="Arial" w:eastAsia="Times New Roman" w:hAnsi="Arial"/>
          <w:color w:val="000000"/>
          <w:sz w:val="21"/>
          <w:szCs w:val="21"/>
        </w:rPr>
      </w:pPr>
    </w:p>
    <w:p w14:paraId="27541BEC" w14:textId="78D0A78C" w:rsidR="00D5174F" w:rsidRPr="003E7A00" w:rsidRDefault="00D5174F">
      <w:pPr>
        <w:rPr>
          <w:lang w:val="es-ES"/>
        </w:rPr>
      </w:pPr>
      <w:r>
        <w:rPr>
          <w:rFonts w:ascii="Arial" w:eastAsia="Times New Roman" w:hAnsi="Arial"/>
          <w:color w:val="000000"/>
          <w:sz w:val="21"/>
          <w:szCs w:val="21"/>
        </w:rPr>
        <w:t>Estimado/a</w:t>
      </w:r>
      <w:r>
        <w:rPr>
          <w:rFonts w:ascii="Arial" w:eastAsia="Times New Roman" w:hAnsi="Arial"/>
          <w:color w:val="000000"/>
          <w:sz w:val="21"/>
          <w:szCs w:val="21"/>
        </w:rPr>
        <w:br/>
      </w:r>
      <w:r>
        <w:rPr>
          <w:rFonts w:ascii="Arial" w:eastAsia="Times New Roman" w:hAnsi="Arial"/>
          <w:color w:val="000000"/>
          <w:sz w:val="21"/>
          <w:szCs w:val="21"/>
        </w:rPr>
        <w:br/>
        <w:t>Considerando que usted fue atendido por urgencias y requiere el uso de un procedimiento por claudicación el cual, según la Resolución 0521 de 15 de febrero de 2015 del Ministerio de Salud el cual junto con el Ministerio de Protección Social y el Ministerio de Trabajo presiden el Consejo Nacional de Salud, y constituye un procedimiento diferente a:</w:t>
      </w:r>
      <w:r>
        <w:rPr>
          <w:rFonts w:ascii="Arial" w:eastAsia="Times New Roman" w:hAnsi="Arial"/>
          <w:color w:val="000000"/>
          <w:sz w:val="21"/>
          <w:szCs w:val="21"/>
        </w:rPr>
        <w:br/>
      </w:r>
      <w:r>
        <w:rPr>
          <w:rFonts w:ascii="Arial" w:eastAsia="Times New Roman" w:hAnsi="Arial"/>
          <w:color w:val="000000"/>
          <w:sz w:val="21"/>
          <w:szCs w:val="21"/>
        </w:rPr>
        <w:br/>
        <w:t>a) Enfermedad ambulatoria aguda de baja complejidad</w:t>
      </w:r>
      <w:r>
        <w:rPr>
          <w:rFonts w:ascii="Arial" w:eastAsia="Times New Roman" w:hAnsi="Arial"/>
          <w:color w:val="000000"/>
          <w:sz w:val="21"/>
          <w:szCs w:val="21"/>
        </w:rPr>
        <w:br/>
        <w:t>b) ERA</w:t>
      </w:r>
      <w:r>
        <w:rPr>
          <w:rFonts w:ascii="Arial" w:eastAsia="Times New Roman" w:hAnsi="Arial"/>
          <w:color w:val="000000"/>
          <w:sz w:val="21"/>
          <w:szCs w:val="21"/>
        </w:rPr>
        <w:br/>
      </w:r>
      <w:r>
        <w:rPr>
          <w:rFonts w:ascii="Arial" w:eastAsia="Times New Roman" w:hAnsi="Arial"/>
          <w:color w:val="000000"/>
          <w:sz w:val="21"/>
          <w:szCs w:val="21"/>
        </w:rPr>
        <w:br/>
        <w:t>Corresponde seguir el procedimiento descrito a continuación el cual tiene como objetivo evitar una reintervención. Tenga en cuenta que según la Organización Internacional de Normalización (ISO), las órtesis buscan modificar los aspectos estructurales del sistema cuando existen alteraciones de la funcionalidad neuromusculoesquelética o, en el caso de las órtesis dinámicas en el tratamiento de patologías del miembro superior que cursan con alteraciones del tono.</w:t>
      </w:r>
      <w:r>
        <w:rPr>
          <w:rFonts w:ascii="Arial" w:eastAsia="Times New Roman" w:hAnsi="Arial"/>
          <w:color w:val="000000"/>
          <w:sz w:val="21"/>
          <w:szCs w:val="21"/>
        </w:rPr>
        <w:br/>
      </w:r>
      <w:r>
        <w:rPr>
          <w:rFonts w:ascii="Arial" w:eastAsia="Times New Roman" w:hAnsi="Arial"/>
          <w:color w:val="000000"/>
          <w:sz w:val="21"/>
          <w:szCs w:val="21"/>
        </w:rPr>
        <w:br/>
        <w:t>Procedimiento:</w:t>
      </w:r>
      <w:r>
        <w:rPr>
          <w:rFonts w:ascii="Arial" w:eastAsia="Times New Roman" w:hAnsi="Arial"/>
          <w:color w:val="000000"/>
          <w:sz w:val="21"/>
          <w:szCs w:val="21"/>
        </w:rPr>
        <w:br/>
        <w:t>1. Identifique previamente, si requiere administración de analgesia, anestesia o sedación con Radiofármacos considerando las recomendaciones de su médico tratante ya que las alteraciones en el tono suponen un hándicap en el tratamiento rehabilitador, tanto para médicos, fisioterapeutas, terapeutas ocupacionales y para los ortopedas en la elección de la órtesis mas indicada.</w:t>
      </w:r>
      <w:r>
        <w:rPr>
          <w:rFonts w:ascii="Arial" w:eastAsia="Times New Roman" w:hAnsi="Arial"/>
          <w:color w:val="000000"/>
          <w:sz w:val="21"/>
          <w:szCs w:val="21"/>
        </w:rPr>
        <w:br/>
        <w:t>3. Identifique las vías de tratamiento: recuerde que las órtesis dinámicas trabajan en 2 grandes vías:</w:t>
      </w:r>
      <w:r>
        <w:rPr>
          <w:rFonts w:ascii="Arial" w:eastAsia="Times New Roman" w:hAnsi="Arial"/>
          <w:color w:val="000000"/>
          <w:sz w:val="21"/>
          <w:szCs w:val="21"/>
        </w:rPr>
        <w:br/>
        <w:t>* A nivel biomecánico, mejorando el alineamiento articular y produciendo un menor gasto energético, que ofrece una estabilidad proximal que permite liberar articulaciones distales.</w:t>
      </w:r>
      <w:r>
        <w:rPr>
          <w:rFonts w:ascii="Arial" w:eastAsia="Times New Roman" w:hAnsi="Arial"/>
          <w:color w:val="000000"/>
          <w:sz w:val="21"/>
          <w:szCs w:val="21"/>
        </w:rPr>
        <w:br/>
        <w:t>* A nivel somatosensorial, estimulando los neuroreceptores de la piel y trabajando con imputs propioceptivos.</w:t>
      </w:r>
      <w:r>
        <w:rPr>
          <w:rFonts w:ascii="Arial" w:eastAsia="Times New Roman" w:hAnsi="Arial"/>
          <w:color w:val="000000"/>
          <w:sz w:val="21"/>
          <w:szCs w:val="21"/>
        </w:rPr>
        <w:br/>
      </w:r>
      <w:r>
        <w:rPr>
          <w:rFonts w:ascii="Arial" w:eastAsia="Times New Roman" w:hAnsi="Arial"/>
          <w:color w:val="000000"/>
          <w:sz w:val="21"/>
          <w:szCs w:val="21"/>
        </w:rPr>
        <w:br/>
        <w:t>3. Empiece el tratamiento normalizando el tono del MS y mejorando la integración del mismo y más adelante se valorará el añadir nuevos refuerzos.</w:t>
      </w:r>
      <w:r>
        <w:rPr>
          <w:rFonts w:ascii="Arial" w:eastAsia="Times New Roman" w:hAnsi="Arial"/>
          <w:color w:val="000000"/>
          <w:sz w:val="21"/>
          <w:szCs w:val="21"/>
        </w:rPr>
        <w:br/>
        <w:t>4. Use el dispositivo médico para uso humano o, equipo biomédico indicado, siguiendo las instrucciones proporcionadas por su médico tratante.</w:t>
      </w:r>
      <w:r>
        <w:rPr>
          <w:rFonts w:ascii="Arial" w:eastAsia="Times New Roman" w:hAnsi="Arial"/>
          <w:color w:val="000000"/>
          <w:sz w:val="21"/>
          <w:szCs w:val="21"/>
        </w:rPr>
        <w:br/>
        <w:t>5. Adminístrese Acido 2-(4-isobutilfenil)-propiónico, en las dosis prescritas por su médico.</w:t>
      </w:r>
      <w:r>
        <w:rPr>
          <w:rFonts w:ascii="Arial" w:eastAsia="Times New Roman" w:hAnsi="Arial"/>
          <w:color w:val="000000"/>
          <w:sz w:val="21"/>
          <w:szCs w:val="21"/>
        </w:rPr>
        <w:br/>
        <w:t>6. Solicite atención para seguimiento mediante procedimiento de telemedicina o por ínterconsulta.</w:t>
      </w:r>
      <w:r w:rsidR="003E7A00" w:rsidRPr="003E7A00">
        <w:rPr>
          <w:noProof/>
        </w:rPr>
        <w:t xml:space="preserve"> </w:t>
      </w:r>
    </w:p>
    <w:sectPr w:rsidR="00D5174F" w:rsidRPr="003E7A00">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9B4CF" w14:textId="77777777" w:rsidR="00CF6233" w:rsidRDefault="00CF6233" w:rsidP="003E7A00">
      <w:pPr>
        <w:spacing w:after="0" w:line="240" w:lineRule="auto"/>
      </w:pPr>
      <w:r>
        <w:separator/>
      </w:r>
    </w:p>
  </w:endnote>
  <w:endnote w:type="continuationSeparator" w:id="0">
    <w:p w14:paraId="2A739EF0" w14:textId="77777777" w:rsidR="00CF6233" w:rsidRDefault="00CF6233" w:rsidP="003E7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334DD" w14:textId="300C960B" w:rsidR="003E7A00" w:rsidRDefault="003E7A00">
    <w:pPr>
      <w:pStyle w:val="Footer"/>
    </w:pPr>
    <w:r>
      <w:rPr>
        <w:rFonts w:ascii="Arial" w:eastAsia="Times New Roman" w:hAnsi="Arial"/>
        <w:color w:val="000000"/>
        <w:sz w:val="21"/>
        <w:szCs w:val="21"/>
      </w:rPr>
      <w:t xml:space="preserve">                                                                                                     </w:t>
    </w:r>
    <w:r w:rsidRPr="003E7A00">
      <w:rPr>
        <w:rFonts w:ascii="Arial" w:eastAsia="Times New Roman" w:hAnsi="Arial"/>
        <w:color w:val="000000"/>
        <w:sz w:val="21"/>
        <w:szCs w:val="21"/>
      </w:rPr>
      <w:drawing>
        <wp:inline distT="0" distB="0" distL="0" distR="0" wp14:anchorId="2642A0CF" wp14:editId="34950D68">
          <wp:extent cx="1636895" cy="62557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77243" cy="640998"/>
                  </a:xfrm>
                  <a:prstGeom prst="rect">
                    <a:avLst/>
                  </a:prstGeom>
                </pic:spPr>
              </pic:pic>
            </a:graphicData>
          </a:graphic>
        </wp:inline>
      </w:drawing>
    </w:r>
  </w:p>
  <w:p w14:paraId="3641D879" w14:textId="77777777" w:rsidR="003E7A00" w:rsidRDefault="003E7A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077F1" w14:textId="77777777" w:rsidR="00CF6233" w:rsidRDefault="00CF6233" w:rsidP="003E7A00">
      <w:pPr>
        <w:spacing w:after="0" w:line="240" w:lineRule="auto"/>
      </w:pPr>
      <w:r>
        <w:separator/>
      </w:r>
    </w:p>
  </w:footnote>
  <w:footnote w:type="continuationSeparator" w:id="0">
    <w:p w14:paraId="3C3F26BA" w14:textId="77777777" w:rsidR="00CF6233" w:rsidRDefault="00CF6233" w:rsidP="003E7A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F"/>
    <w:rsid w:val="00331226"/>
    <w:rsid w:val="003D629F"/>
    <w:rsid w:val="003E7A00"/>
    <w:rsid w:val="004A380F"/>
    <w:rsid w:val="006223A3"/>
    <w:rsid w:val="00B600C7"/>
    <w:rsid w:val="00B9447D"/>
    <w:rsid w:val="00BB2384"/>
    <w:rsid w:val="00BD1EAC"/>
    <w:rsid w:val="00CF5041"/>
    <w:rsid w:val="00CF6233"/>
    <w:rsid w:val="00D06823"/>
    <w:rsid w:val="00D5174F"/>
    <w:rsid w:val="00E76646"/>
    <w:rsid w:val="00FB7886"/>
  </w:rsids>
  <m:mathPr>
    <m:mathFont m:val="Cambria Math"/>
    <m:brkBin m:val="before"/>
    <m:brkBinSub m:val="--"/>
    <m:smallFrac m:val="0"/>
    <m:dispDef/>
    <m:lMargin m:val="0"/>
    <m:rMargin m:val="0"/>
    <m:defJc m:val="centerGroup"/>
    <m:wrapIndent m:val="1440"/>
    <m:intLim m:val="subSup"/>
    <m:naryLim m:val="undOvr"/>
  </m:mathPr>
  <w:themeFontLang w:val="es-EC"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1CBB"/>
  <w15:chartTrackingRefBased/>
  <w15:docId w15:val="{8385190A-7597-CB41-A666-C81411B8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00"/>
  </w:style>
  <w:style w:type="paragraph" w:styleId="Footer">
    <w:name w:val="footer"/>
    <w:basedOn w:val="Normal"/>
    <w:link w:val="FooterChar"/>
    <w:uiPriority w:val="99"/>
    <w:unhideWhenUsed/>
    <w:rsid w:val="003E7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1897">
      <w:bodyDiv w:val="1"/>
      <w:marLeft w:val="0"/>
      <w:marRight w:val="0"/>
      <w:marTop w:val="0"/>
      <w:marBottom w:val="0"/>
      <w:divBdr>
        <w:top w:val="none" w:sz="0" w:space="0" w:color="auto"/>
        <w:left w:val="none" w:sz="0" w:space="0" w:color="auto"/>
        <w:bottom w:val="none" w:sz="0" w:space="0" w:color="auto"/>
        <w:right w:val="none" w:sz="0" w:space="0" w:color="auto"/>
      </w:divBdr>
    </w:div>
    <w:div w:id="372535940">
      <w:bodyDiv w:val="1"/>
      <w:marLeft w:val="0"/>
      <w:marRight w:val="0"/>
      <w:marTop w:val="0"/>
      <w:marBottom w:val="0"/>
      <w:divBdr>
        <w:top w:val="none" w:sz="0" w:space="0" w:color="auto"/>
        <w:left w:val="none" w:sz="0" w:space="0" w:color="auto"/>
        <w:bottom w:val="none" w:sz="0" w:space="0" w:color="auto"/>
        <w:right w:val="none" w:sz="0" w:space="0" w:color="auto"/>
      </w:divBdr>
    </w:div>
    <w:div w:id="1321734687">
      <w:bodyDiv w:val="1"/>
      <w:marLeft w:val="0"/>
      <w:marRight w:val="0"/>
      <w:marTop w:val="0"/>
      <w:marBottom w:val="0"/>
      <w:divBdr>
        <w:top w:val="none" w:sz="0" w:space="0" w:color="auto"/>
        <w:left w:val="none" w:sz="0" w:space="0" w:color="auto"/>
        <w:bottom w:val="none" w:sz="0" w:space="0" w:color="auto"/>
        <w:right w:val="none" w:sz="0" w:space="0" w:color="auto"/>
      </w:divBdr>
    </w:div>
    <w:div w:id="151788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3B56425-EA82-FB4E-8695-6979D380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Stella Perez</dc:creator>
  <cp:keywords/>
  <dc:description/>
  <cp:lastModifiedBy>Carla Patiño Carreño</cp:lastModifiedBy>
  <cp:revision>2</cp:revision>
  <dcterms:created xsi:type="dcterms:W3CDTF">2017-01-05T14:34:00Z</dcterms:created>
  <dcterms:modified xsi:type="dcterms:W3CDTF">2017-01-05T14:34:00Z</dcterms:modified>
</cp:coreProperties>
</file>