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584"/>
        <w:gridCol w:w="8444"/>
      </w:tblGrid>
      <w:tr w:rsidR="009F7434" w:rsidTr="009F7434">
        <w:tc>
          <w:tcPr>
            <w:tcW w:w="534" w:type="dxa"/>
          </w:tcPr>
          <w:p w:rsidR="009F7434" w:rsidRPr="009C39A1" w:rsidRDefault="009F7434" w:rsidP="009C39A1">
            <w:pPr>
              <w:spacing w:before="240" w:line="276" w:lineRule="auto"/>
              <w:jc w:val="center"/>
              <w:rPr>
                <w:rFonts w:ascii="Calisto MT" w:hAnsi="Calisto MT" w:cs="Tahoma"/>
                <w:b/>
                <w:sz w:val="72"/>
              </w:rPr>
            </w:pPr>
            <w:r w:rsidRPr="009C39A1">
              <w:rPr>
                <w:rFonts w:ascii="Calisto MT" w:hAnsi="Calisto MT" w:cs="Tahoma"/>
                <w:b/>
                <w:sz w:val="72"/>
              </w:rPr>
              <w:t>1</w:t>
            </w:r>
          </w:p>
        </w:tc>
        <w:tc>
          <w:tcPr>
            <w:tcW w:w="8444" w:type="dxa"/>
          </w:tcPr>
          <w:p w:rsidR="009F7434" w:rsidRPr="00171615" w:rsidRDefault="009F7434" w:rsidP="00171615">
            <w:pPr>
              <w:spacing w:before="240" w:line="276" w:lineRule="auto"/>
              <w:jc w:val="both"/>
              <w:rPr>
                <w:rFonts w:ascii="Calisto MT" w:eastAsia="Times New Roman" w:hAnsi="Calisto MT" w:cs="Tahoma"/>
                <w:color w:val="242424"/>
                <w:sz w:val="28"/>
                <w:szCs w:val="20"/>
                <w:lang w:eastAsia="es-EC"/>
              </w:rPr>
            </w:pPr>
            <w:r w:rsidRPr="00171615">
              <w:rPr>
                <w:rFonts w:ascii="Calisto MT" w:eastAsia="Times New Roman" w:hAnsi="Calisto MT" w:cs="Tahoma"/>
                <w:color w:val="242424"/>
                <w:sz w:val="28"/>
                <w:szCs w:val="20"/>
                <w:lang w:eastAsia="es-EC"/>
              </w:rPr>
              <w:t xml:space="preserve">El Municipio de Esmeraldas cedió un espacio en la Alcaldía para el fomento y difusión de las manifestaciones culturales </w:t>
            </w:r>
            <w:proofErr w:type="spellStart"/>
            <w:r w:rsidRPr="00171615">
              <w:rPr>
                <w:rFonts w:ascii="Calisto MT" w:eastAsia="Times New Roman" w:hAnsi="Calisto MT" w:cs="Tahoma"/>
                <w:color w:val="242424"/>
                <w:sz w:val="28"/>
                <w:szCs w:val="20"/>
                <w:lang w:eastAsia="es-EC"/>
              </w:rPr>
              <w:t>afroecuatorianas</w:t>
            </w:r>
            <w:proofErr w:type="spellEnd"/>
            <w:r w:rsidRPr="00171615">
              <w:rPr>
                <w:rFonts w:ascii="Calisto MT" w:eastAsia="Times New Roman" w:hAnsi="Calisto MT" w:cs="Tahoma"/>
                <w:color w:val="242424"/>
                <w:sz w:val="28"/>
                <w:szCs w:val="20"/>
                <w:lang w:eastAsia="es-EC"/>
              </w:rPr>
              <w:t>. Pero el Alcalde ha decidido recientemente convertir el espacio en una bodega.</w:t>
            </w:r>
          </w:p>
          <w:p w:rsidR="009F7434" w:rsidRPr="00171615" w:rsidRDefault="009F7434" w:rsidP="00413BA8">
            <w:pPr>
              <w:spacing w:line="276" w:lineRule="auto"/>
              <w:jc w:val="both"/>
              <w:rPr>
                <w:rFonts w:ascii="Calisto MT" w:eastAsia="Times New Roman" w:hAnsi="Calisto MT" w:cs="Tahoma"/>
                <w:color w:val="242424"/>
                <w:sz w:val="28"/>
                <w:szCs w:val="20"/>
                <w:lang w:eastAsia="es-EC"/>
              </w:rPr>
            </w:pPr>
            <w:r w:rsidRPr="00171615">
              <w:rPr>
                <w:rFonts w:ascii="Calisto MT" w:eastAsia="Times New Roman" w:hAnsi="Calisto MT" w:cs="Tahoma"/>
                <w:color w:val="242424"/>
                <w:sz w:val="28"/>
                <w:szCs w:val="20"/>
                <w:lang w:eastAsia="es-EC"/>
              </w:rPr>
              <w:t xml:space="preserve">La “Corporación Casa de la Marimba”, que ocupaba ese espacio, gestiona el apoyo de amigos para diseñar propuestas, como cursos permanentes de marimba, una escuela de danza ancestral y promoción de la gastronomía </w:t>
            </w:r>
            <w:proofErr w:type="spellStart"/>
            <w:r w:rsidRPr="00171615">
              <w:rPr>
                <w:rFonts w:ascii="Calisto MT" w:eastAsia="Times New Roman" w:hAnsi="Calisto MT" w:cs="Tahoma"/>
                <w:color w:val="242424"/>
                <w:sz w:val="28"/>
                <w:szCs w:val="20"/>
                <w:lang w:eastAsia="es-EC"/>
              </w:rPr>
              <w:t>afroesmeraldeña</w:t>
            </w:r>
            <w:proofErr w:type="spellEnd"/>
            <w:r w:rsidRPr="00171615">
              <w:rPr>
                <w:rFonts w:ascii="Calisto MT" w:eastAsia="Times New Roman" w:hAnsi="Calisto MT" w:cs="Tahoma"/>
                <w:color w:val="242424"/>
                <w:sz w:val="28"/>
                <w:szCs w:val="20"/>
                <w:lang w:eastAsia="es-EC"/>
              </w:rPr>
              <w:t xml:space="preserve">, mientras espera que la alcaldía revea </w:t>
            </w:r>
            <w:r w:rsidR="00413BA8">
              <w:rPr>
                <w:rFonts w:ascii="Calisto MT" w:eastAsia="Times New Roman" w:hAnsi="Calisto MT" w:cs="Tahoma"/>
                <w:color w:val="242424"/>
                <w:sz w:val="28"/>
                <w:szCs w:val="20"/>
                <w:lang w:eastAsia="es-EC"/>
              </w:rPr>
              <w:t>su</w:t>
            </w:r>
            <w:r w:rsidRPr="00171615">
              <w:rPr>
                <w:rFonts w:ascii="Calisto MT" w:eastAsia="Times New Roman" w:hAnsi="Calisto MT" w:cs="Tahoma"/>
                <w:color w:val="242424"/>
                <w:sz w:val="28"/>
                <w:szCs w:val="20"/>
                <w:lang w:eastAsia="es-EC"/>
              </w:rPr>
              <w:t xml:space="preserve"> decisión.</w:t>
            </w:r>
          </w:p>
        </w:tc>
      </w:tr>
      <w:tr w:rsidR="009F7434" w:rsidTr="009F7434">
        <w:tc>
          <w:tcPr>
            <w:tcW w:w="534" w:type="dxa"/>
          </w:tcPr>
          <w:p w:rsidR="009F7434" w:rsidRPr="009C39A1" w:rsidRDefault="009F7434" w:rsidP="009C39A1">
            <w:pPr>
              <w:spacing w:before="240" w:line="276" w:lineRule="auto"/>
              <w:jc w:val="center"/>
              <w:rPr>
                <w:rFonts w:ascii="Calisto MT" w:hAnsi="Calisto MT" w:cs="Tahoma"/>
                <w:b/>
                <w:sz w:val="72"/>
              </w:rPr>
            </w:pPr>
            <w:r w:rsidRPr="009C39A1">
              <w:rPr>
                <w:rFonts w:ascii="Calisto MT" w:hAnsi="Calisto MT" w:cs="Tahoma"/>
                <w:b/>
                <w:sz w:val="72"/>
              </w:rPr>
              <w:t>2</w:t>
            </w:r>
          </w:p>
        </w:tc>
        <w:tc>
          <w:tcPr>
            <w:tcW w:w="8444" w:type="dxa"/>
          </w:tcPr>
          <w:p w:rsidR="009F7434" w:rsidRPr="00171615" w:rsidRDefault="009F7434" w:rsidP="00171615">
            <w:pPr>
              <w:spacing w:before="240" w:line="276" w:lineRule="auto"/>
              <w:jc w:val="both"/>
              <w:rPr>
                <w:rFonts w:ascii="Calisto MT" w:hAnsi="Calisto MT" w:cs="Tahoma"/>
                <w:sz w:val="28"/>
              </w:rPr>
            </w:pPr>
            <w:r w:rsidRPr="00171615">
              <w:rPr>
                <w:rFonts w:ascii="Calisto MT" w:hAnsi="Calisto MT" w:cs="Tahoma"/>
                <w:sz w:val="28"/>
              </w:rPr>
              <w:t xml:space="preserve">El suelo de </w:t>
            </w:r>
            <w:proofErr w:type="spellStart"/>
            <w:r w:rsidRPr="00171615">
              <w:rPr>
                <w:rFonts w:ascii="Calisto MT" w:hAnsi="Calisto MT" w:cs="Tahoma"/>
                <w:sz w:val="28"/>
              </w:rPr>
              <w:t>Íntag</w:t>
            </w:r>
            <w:proofErr w:type="spellEnd"/>
            <w:r w:rsidRPr="00171615">
              <w:rPr>
                <w:rFonts w:ascii="Calisto MT" w:hAnsi="Calisto MT" w:cs="Tahoma"/>
                <w:sz w:val="28"/>
              </w:rPr>
              <w:t xml:space="preserve"> (provincia de Imbabura) no sólo es rico en biodiversidad, también en cobre. A inicios de los ’90, una empresa japonesa empezó sus operaciones y valoró </w:t>
            </w:r>
            <w:r w:rsidR="00950990">
              <w:rPr>
                <w:rFonts w:ascii="Calisto MT" w:hAnsi="Calisto MT" w:cs="Tahoma"/>
                <w:sz w:val="28"/>
              </w:rPr>
              <w:t>el</w:t>
            </w:r>
            <w:r w:rsidRPr="00171615">
              <w:rPr>
                <w:rFonts w:ascii="Calisto MT" w:hAnsi="Calisto MT" w:cs="Tahoma"/>
                <w:sz w:val="28"/>
              </w:rPr>
              <w:t xml:space="preserve"> potencial</w:t>
            </w:r>
            <w:r w:rsidR="00950990">
              <w:rPr>
                <w:rFonts w:ascii="Calisto MT" w:hAnsi="Calisto MT" w:cs="Tahoma"/>
                <w:sz w:val="28"/>
              </w:rPr>
              <w:t xml:space="preserve"> de esta tierra</w:t>
            </w:r>
            <w:r w:rsidRPr="00171615">
              <w:rPr>
                <w:rFonts w:ascii="Calisto MT" w:hAnsi="Calisto MT" w:cs="Tahoma"/>
                <w:sz w:val="28"/>
              </w:rPr>
              <w:t>. Sin embargo, un estudio de impacto ambiental determinó que la minería tendría como resultado la deforestación masiva, la desertificación, la contaminación de fuentes de agua con plomo, arsénico, cadmio y la posible extinción de especies.</w:t>
            </w:r>
          </w:p>
          <w:p w:rsidR="009F7434" w:rsidRPr="00171615" w:rsidRDefault="009F7434" w:rsidP="00950990">
            <w:pPr>
              <w:spacing w:line="276" w:lineRule="auto"/>
              <w:jc w:val="both"/>
              <w:rPr>
                <w:rFonts w:ascii="Calisto MT" w:hAnsi="Calisto MT" w:cs="Tahoma"/>
                <w:sz w:val="28"/>
              </w:rPr>
            </w:pPr>
            <w:r w:rsidRPr="00171615">
              <w:rPr>
                <w:rFonts w:ascii="Calisto MT" w:hAnsi="Calisto MT" w:cs="Tahoma"/>
                <w:sz w:val="28"/>
              </w:rPr>
              <w:t>Desde hace dos décadas los habitantes de la zona se han organizado para defender sus derechos.</w:t>
            </w:r>
          </w:p>
        </w:tc>
      </w:tr>
      <w:tr w:rsidR="009F7434" w:rsidTr="009F7434">
        <w:tc>
          <w:tcPr>
            <w:tcW w:w="534" w:type="dxa"/>
          </w:tcPr>
          <w:p w:rsidR="009F7434" w:rsidRPr="009C39A1" w:rsidRDefault="009F7434" w:rsidP="009C39A1">
            <w:pPr>
              <w:spacing w:before="240" w:line="276" w:lineRule="auto"/>
              <w:jc w:val="center"/>
              <w:rPr>
                <w:rFonts w:ascii="Calisto MT" w:hAnsi="Calisto MT" w:cs="Tahoma"/>
                <w:b/>
                <w:sz w:val="72"/>
              </w:rPr>
            </w:pPr>
            <w:r w:rsidRPr="009C39A1">
              <w:rPr>
                <w:rFonts w:ascii="Calisto MT" w:hAnsi="Calisto MT" w:cs="Tahoma"/>
                <w:b/>
                <w:sz w:val="72"/>
              </w:rPr>
              <w:t>3</w:t>
            </w:r>
          </w:p>
        </w:tc>
        <w:tc>
          <w:tcPr>
            <w:tcW w:w="8444" w:type="dxa"/>
          </w:tcPr>
          <w:p w:rsidR="00171615" w:rsidRPr="00171615" w:rsidRDefault="009F7434" w:rsidP="00950990">
            <w:pPr>
              <w:spacing w:before="240" w:line="276" w:lineRule="auto"/>
              <w:jc w:val="both"/>
              <w:rPr>
                <w:rFonts w:ascii="Calisto MT" w:hAnsi="Calisto MT" w:cs="Tahoma"/>
                <w:sz w:val="28"/>
              </w:rPr>
            </w:pPr>
            <w:r w:rsidRPr="00171615">
              <w:rPr>
                <w:rFonts w:ascii="Calisto MT" w:hAnsi="Calisto MT" w:cs="Tahoma"/>
                <w:sz w:val="28"/>
              </w:rPr>
              <w:t xml:space="preserve">En los años </w:t>
            </w:r>
            <w:r w:rsidR="00950990">
              <w:rPr>
                <w:rFonts w:ascii="Calisto MT" w:hAnsi="Calisto MT" w:cs="Tahoma"/>
                <w:sz w:val="28"/>
              </w:rPr>
              <w:t>‘</w:t>
            </w:r>
            <w:r w:rsidRPr="00171615">
              <w:rPr>
                <w:rFonts w:ascii="Calisto MT" w:hAnsi="Calisto MT" w:cs="Tahoma"/>
                <w:sz w:val="28"/>
              </w:rPr>
              <w:t>60</w:t>
            </w:r>
            <w:r w:rsidR="00171615" w:rsidRPr="00171615">
              <w:rPr>
                <w:rFonts w:ascii="Calisto MT" w:hAnsi="Calisto MT" w:cs="Tahoma"/>
                <w:sz w:val="28"/>
              </w:rPr>
              <w:t xml:space="preserve"> el Estado ecuatoriano entregó a una congregación religiosa más de 600 hectáreas de territorios del cantón Carlos Julio Arosemena</w:t>
            </w:r>
            <w:r w:rsidR="00950990">
              <w:rPr>
                <w:rFonts w:ascii="Calisto MT" w:hAnsi="Calisto MT" w:cs="Tahoma"/>
                <w:sz w:val="28"/>
              </w:rPr>
              <w:t>,</w:t>
            </w:r>
            <w:r w:rsidR="00171615" w:rsidRPr="00171615">
              <w:rPr>
                <w:rFonts w:ascii="Calisto MT" w:hAnsi="Calisto MT" w:cs="Tahoma"/>
                <w:sz w:val="28"/>
              </w:rPr>
              <w:t xml:space="preserve"> en Napo. Esta congregación vendió esas tierras a una familia, y la familia vendió la tierra a una compañía minera. En esa zona se asentaba el pueblo </w:t>
            </w:r>
            <w:proofErr w:type="spellStart"/>
            <w:r w:rsidR="00171615" w:rsidRPr="00171615">
              <w:rPr>
                <w:rFonts w:ascii="Calisto MT" w:hAnsi="Calisto MT" w:cs="Tahoma"/>
                <w:sz w:val="28"/>
              </w:rPr>
              <w:t>Tzawata</w:t>
            </w:r>
            <w:proofErr w:type="spellEnd"/>
            <w:r w:rsidR="00171615" w:rsidRPr="00171615">
              <w:rPr>
                <w:rFonts w:ascii="Calisto MT" w:hAnsi="Calisto MT" w:cs="Tahoma"/>
                <w:sz w:val="28"/>
              </w:rPr>
              <w:t>, lo cual fue desconocido por parte de quienes vendieron las tierras una y otra vez.</w:t>
            </w:r>
          </w:p>
        </w:tc>
      </w:tr>
      <w:tr w:rsidR="009F7434" w:rsidTr="009F7434">
        <w:tc>
          <w:tcPr>
            <w:tcW w:w="534" w:type="dxa"/>
          </w:tcPr>
          <w:p w:rsidR="009F7434" w:rsidRPr="009C39A1" w:rsidRDefault="00171615" w:rsidP="009C39A1">
            <w:pPr>
              <w:spacing w:before="240" w:line="276" w:lineRule="auto"/>
              <w:jc w:val="center"/>
              <w:rPr>
                <w:rFonts w:ascii="Calisto MT" w:hAnsi="Calisto MT" w:cs="Tahoma"/>
                <w:b/>
                <w:sz w:val="72"/>
              </w:rPr>
            </w:pPr>
            <w:r w:rsidRPr="009C39A1">
              <w:rPr>
                <w:rFonts w:ascii="Calisto MT" w:hAnsi="Calisto MT" w:cs="Tahoma"/>
                <w:b/>
                <w:sz w:val="72"/>
              </w:rPr>
              <w:t>4</w:t>
            </w:r>
          </w:p>
        </w:tc>
        <w:tc>
          <w:tcPr>
            <w:tcW w:w="8444" w:type="dxa"/>
          </w:tcPr>
          <w:p w:rsidR="009F7434" w:rsidRPr="00171615" w:rsidRDefault="00171615" w:rsidP="00171615">
            <w:pPr>
              <w:spacing w:before="240" w:line="276" w:lineRule="auto"/>
              <w:jc w:val="both"/>
              <w:rPr>
                <w:rFonts w:ascii="Calisto MT" w:hAnsi="Calisto MT" w:cs="Tahoma"/>
                <w:sz w:val="28"/>
              </w:rPr>
            </w:pPr>
            <w:r w:rsidRPr="00171615">
              <w:rPr>
                <w:rFonts w:ascii="Calisto MT" w:hAnsi="Calisto MT" w:cs="Tahoma"/>
                <w:sz w:val="28"/>
              </w:rPr>
              <w:t xml:space="preserve">El joven Michael Arce, que se identifica a sí mismo como </w:t>
            </w:r>
            <w:proofErr w:type="spellStart"/>
            <w:r w:rsidRPr="00171615">
              <w:rPr>
                <w:rFonts w:ascii="Calisto MT" w:hAnsi="Calisto MT" w:cs="Tahoma"/>
                <w:sz w:val="28"/>
              </w:rPr>
              <w:t>afrodescendiente</w:t>
            </w:r>
            <w:proofErr w:type="spellEnd"/>
            <w:r w:rsidRPr="00171615">
              <w:rPr>
                <w:rFonts w:ascii="Calisto MT" w:hAnsi="Calisto MT" w:cs="Tahoma"/>
                <w:sz w:val="28"/>
              </w:rPr>
              <w:t xml:space="preserve">, ingresó a la Escuela Militar porque su sueño era convertirse en oficial de las Fuerzas Armadas del Ecuador. Sin embargo, al ingresar recibió una serie de malos tratos, castigos y hostigamiento con el fin de que renunciara a su carrera militar, ya que según </w:t>
            </w:r>
            <w:r>
              <w:rPr>
                <w:rFonts w:ascii="Calisto MT" w:hAnsi="Calisto MT" w:cs="Tahoma"/>
                <w:sz w:val="28"/>
              </w:rPr>
              <w:t xml:space="preserve">expresaron </w:t>
            </w:r>
            <w:r w:rsidRPr="00171615">
              <w:rPr>
                <w:rFonts w:ascii="Calisto MT" w:hAnsi="Calisto MT" w:cs="Tahoma"/>
                <w:sz w:val="28"/>
              </w:rPr>
              <w:t>sus instructores “</w:t>
            </w:r>
            <w:r w:rsidRPr="00171615">
              <w:rPr>
                <w:rFonts w:ascii="Calisto MT" w:hAnsi="Calisto MT" w:cs="Tahoma"/>
                <w:i/>
                <w:sz w:val="28"/>
              </w:rPr>
              <w:t>ningún negro será oficial</w:t>
            </w:r>
            <w:r w:rsidRPr="00171615">
              <w:rPr>
                <w:rFonts w:ascii="Calisto MT" w:hAnsi="Calisto MT" w:cs="Tahoma"/>
                <w:sz w:val="28"/>
              </w:rPr>
              <w:t>” en la Escuela Militar.</w:t>
            </w:r>
          </w:p>
        </w:tc>
      </w:tr>
      <w:tr w:rsidR="00950990" w:rsidTr="009F7434">
        <w:tc>
          <w:tcPr>
            <w:tcW w:w="534" w:type="dxa"/>
          </w:tcPr>
          <w:p w:rsidR="00950990" w:rsidRPr="009C39A1" w:rsidRDefault="009C39A1" w:rsidP="009C39A1">
            <w:pPr>
              <w:spacing w:before="240"/>
              <w:jc w:val="center"/>
              <w:rPr>
                <w:rFonts w:ascii="Calisto MT" w:hAnsi="Calisto MT" w:cs="Tahoma"/>
                <w:b/>
                <w:sz w:val="72"/>
              </w:rPr>
            </w:pPr>
            <w:r>
              <w:rPr>
                <w:rFonts w:ascii="Calisto MT" w:hAnsi="Calisto MT" w:cs="Tahoma"/>
                <w:b/>
                <w:sz w:val="72"/>
              </w:rPr>
              <w:lastRenderedPageBreak/>
              <w:t>4</w:t>
            </w:r>
          </w:p>
        </w:tc>
        <w:tc>
          <w:tcPr>
            <w:tcW w:w="8444" w:type="dxa"/>
          </w:tcPr>
          <w:p w:rsidR="00950990" w:rsidRDefault="00950990" w:rsidP="00950990">
            <w:pPr>
              <w:spacing w:before="240"/>
              <w:jc w:val="both"/>
              <w:rPr>
                <w:rFonts w:ascii="Calisto MT" w:hAnsi="Calisto MT" w:cs="Tahoma"/>
                <w:sz w:val="28"/>
              </w:rPr>
            </w:pPr>
            <w:r>
              <w:rPr>
                <w:rFonts w:ascii="Calisto MT" w:hAnsi="Calisto MT" w:cs="Tahoma"/>
                <w:sz w:val="28"/>
              </w:rPr>
              <w:t xml:space="preserve">Distintas empresas turísticas de Santa Elena inician un proceso de desalojo de terrenos de las comunas en Montañita, en base a una sentencia judicial que les concede derechos de propiedad sobre dichos terrenos. </w:t>
            </w:r>
          </w:p>
          <w:p w:rsidR="00950990" w:rsidRPr="00171615" w:rsidRDefault="00950990" w:rsidP="00950990">
            <w:pPr>
              <w:jc w:val="both"/>
              <w:rPr>
                <w:rFonts w:ascii="Calisto MT" w:hAnsi="Calisto MT" w:cs="Tahoma"/>
                <w:sz w:val="28"/>
              </w:rPr>
            </w:pPr>
            <w:r>
              <w:rPr>
                <w:rFonts w:ascii="Calisto MT" w:hAnsi="Calisto MT" w:cs="Tahoma"/>
                <w:sz w:val="28"/>
              </w:rPr>
              <w:t>Las sentencias judiciales desconocen la posesión ancestral de estas tierras por parte de las comunas, e incluso resoluciones del MAGAP que les adjudica derechos a las comunas desde los años ‘30.</w:t>
            </w:r>
          </w:p>
        </w:tc>
      </w:tr>
    </w:tbl>
    <w:p w:rsidR="009F7434" w:rsidRDefault="00950990" w:rsidP="00171615">
      <w:pPr>
        <w:spacing w:before="240"/>
      </w:pPr>
      <w:r>
        <w:tab/>
      </w:r>
    </w:p>
    <w:sectPr w:rsidR="009F7434" w:rsidSect="00061A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hyphenationZone w:val="425"/>
  <w:characterSpacingControl w:val="doNotCompress"/>
  <w:compat/>
  <w:rsids>
    <w:rsidRoot w:val="009F7434"/>
    <w:rsid w:val="00061AE2"/>
    <w:rsid w:val="00171615"/>
    <w:rsid w:val="001C238D"/>
    <w:rsid w:val="00413BA8"/>
    <w:rsid w:val="00950990"/>
    <w:rsid w:val="009C39A1"/>
    <w:rsid w:val="009F7434"/>
    <w:rsid w:val="00C2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AE2"/>
  </w:style>
  <w:style w:type="paragraph" w:styleId="Ttulo1">
    <w:name w:val="heading 1"/>
    <w:basedOn w:val="Normal"/>
    <w:next w:val="Normal"/>
    <w:link w:val="Ttulo1Car"/>
    <w:uiPriority w:val="9"/>
    <w:qFormat/>
    <w:rsid w:val="00C225D7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2961A7" w:themeColor="text2" w:themeTint="D9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25D7"/>
    <w:pPr>
      <w:keepNext/>
      <w:keepLines/>
      <w:spacing w:before="200" w:after="0"/>
      <w:jc w:val="both"/>
      <w:outlineLvl w:val="1"/>
    </w:pPr>
    <w:rPr>
      <w:rFonts w:asciiTheme="majorHAnsi" w:eastAsiaTheme="majorEastAsia" w:hAnsiTheme="majorHAnsi" w:cstheme="majorBidi"/>
      <w:b/>
      <w:bCs/>
      <w:color w:val="4683D1" w:themeColor="text2" w:themeTint="A6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C225D7"/>
    <w:pPr>
      <w:ind w:left="708"/>
      <w:jc w:val="both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225D7"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sid w:val="00C225D7"/>
    <w:rPr>
      <w:rFonts w:asciiTheme="majorHAnsi" w:eastAsiaTheme="majorEastAsia" w:hAnsiTheme="majorHAnsi" w:cstheme="majorBidi"/>
      <w:b/>
      <w:bCs/>
      <w:color w:val="2961A7" w:themeColor="text2" w:themeTint="D9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225D7"/>
    <w:rPr>
      <w:rFonts w:asciiTheme="majorHAnsi" w:eastAsiaTheme="majorEastAsia" w:hAnsiTheme="majorHAnsi" w:cstheme="majorBidi"/>
      <w:b/>
      <w:bCs/>
      <w:color w:val="4683D1" w:themeColor="text2" w:themeTint="A6"/>
      <w:sz w:val="26"/>
      <w:szCs w:val="26"/>
    </w:rPr>
  </w:style>
  <w:style w:type="table" w:styleId="Tablaconcuadrcula">
    <w:name w:val="Table Grid"/>
    <w:basedOn w:val="Tablanormal"/>
    <w:uiPriority w:val="59"/>
    <w:rsid w:val="009F7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Ale</cp:lastModifiedBy>
  <cp:revision>3</cp:revision>
  <dcterms:created xsi:type="dcterms:W3CDTF">2016-07-29T23:30:00Z</dcterms:created>
  <dcterms:modified xsi:type="dcterms:W3CDTF">2016-07-30T00:01:00Z</dcterms:modified>
</cp:coreProperties>
</file>