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7DF" w:rsidRDefault="002847DF" w:rsidP="002847DF">
      <w:pPr>
        <w:jc w:val="center"/>
      </w:pPr>
      <w:bookmarkStart w:id="0" w:name="_GoBack"/>
      <w:r w:rsidRPr="00E444A5">
        <w:rPr>
          <w:rFonts w:cstheme="minorHAnsi"/>
          <w:b/>
          <w:noProof/>
          <w:sz w:val="24"/>
          <w:szCs w:val="24"/>
        </w:rPr>
        <w:t xml:space="preserve">Caso: </w:t>
      </w:r>
      <w:r w:rsidRPr="00E444A5">
        <w:rPr>
          <w:rFonts w:cstheme="minorHAnsi"/>
          <w:b/>
          <w:sz w:val="24"/>
          <w:szCs w:val="24"/>
        </w:rPr>
        <w:t>Pueblo Indígena Kichwa de Sarayacu vs. Ecuador</w:t>
      </w:r>
      <w:bookmarkEnd w:id="0"/>
      <w:r>
        <w:rPr>
          <w:rStyle w:val="Refdenotaalpie"/>
        </w:rPr>
        <w:footnoteReference w:id="1"/>
      </w:r>
    </w:p>
    <w:p w:rsidR="002847DF" w:rsidRDefault="002847DF" w:rsidP="002847DF">
      <w:pPr>
        <w:jc w:val="both"/>
      </w:pPr>
      <w:r>
        <w:rPr>
          <w:noProof/>
        </w:rPr>
        <w:drawing>
          <wp:anchor distT="0" distB="0" distL="114300" distR="114300" simplePos="0" relativeHeight="251659264" behindDoc="1" locked="0" layoutInCell="1" allowOverlap="1" wp14:anchorId="11CF29E9" wp14:editId="53878957">
            <wp:simplePos x="0" y="0"/>
            <wp:positionH relativeFrom="margin">
              <wp:align>left</wp:align>
            </wp:positionH>
            <wp:positionV relativeFrom="paragraph">
              <wp:posOffset>64770</wp:posOffset>
            </wp:positionV>
            <wp:extent cx="3331845" cy="2381250"/>
            <wp:effectExtent l="0" t="0" r="1905" b="0"/>
            <wp:wrapTight wrapText="bothSides">
              <wp:wrapPolygon edited="0">
                <wp:start x="0" y="0"/>
                <wp:lineTo x="0" y="21427"/>
                <wp:lineTo x="21489" y="21427"/>
                <wp:lineTo x="21489"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029806448_61da80bf54_z.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331845" cy="2381250"/>
                    </a:xfrm>
                    <a:prstGeom prst="rect">
                      <a:avLst/>
                    </a:prstGeom>
                  </pic:spPr>
                </pic:pic>
              </a:graphicData>
            </a:graphic>
            <wp14:sizeRelH relativeFrom="page">
              <wp14:pctWidth>0</wp14:pctWidth>
            </wp14:sizeRelH>
            <wp14:sizeRelV relativeFrom="page">
              <wp14:pctHeight>0</wp14:pctHeight>
            </wp14:sizeRelV>
          </wp:anchor>
        </w:drawing>
      </w:r>
      <w:r>
        <w:t>Los hechos del presente caso se enmarcan en la región de la provincia de Pastaza, donde habita el pueblo indígena Kichwa de Sarayaku.</w:t>
      </w:r>
    </w:p>
    <w:p w:rsidR="002847DF" w:rsidRDefault="002847DF" w:rsidP="002847DF">
      <w:pPr>
        <w:jc w:val="both"/>
      </w:pPr>
      <w:r>
        <w:t xml:space="preserve"> Esta población, la cual tiene alrededor de 1200 habitantes, subsiste de la agricultura familiar colectiva, la caza, la pesca y la recolección dentro de su territorio de acuerdo con sus tradiciones y costumbres ancestrales. En el año 2004 se registró el estatuto del Pueblo Originario Kichwa de Sarayaku. </w:t>
      </w:r>
    </w:p>
    <w:p w:rsidR="002847DF" w:rsidRDefault="002847DF" w:rsidP="002847DF">
      <w:pPr>
        <w:jc w:val="both"/>
      </w:pPr>
      <w:r>
        <w:rPr>
          <w:noProof/>
        </w:rPr>
        <w:drawing>
          <wp:anchor distT="0" distB="0" distL="114300" distR="114300" simplePos="0" relativeHeight="251660288" behindDoc="1" locked="0" layoutInCell="1" allowOverlap="1" wp14:anchorId="11ACA334" wp14:editId="26FDB824">
            <wp:simplePos x="0" y="0"/>
            <wp:positionH relativeFrom="column">
              <wp:posOffset>2806065</wp:posOffset>
            </wp:positionH>
            <wp:positionV relativeFrom="paragraph">
              <wp:posOffset>821690</wp:posOffset>
            </wp:positionV>
            <wp:extent cx="2712085" cy="2019300"/>
            <wp:effectExtent l="0" t="0" r="0" b="0"/>
            <wp:wrapTight wrapText="bothSides">
              <wp:wrapPolygon edited="0">
                <wp:start x="0" y="0"/>
                <wp:lineTo x="0" y="21396"/>
                <wp:lineTo x="21393" y="21396"/>
                <wp:lineTo x="21393"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29385473_b5f625baa3_z.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12085" cy="2019300"/>
                    </a:xfrm>
                    <a:prstGeom prst="rect">
                      <a:avLst/>
                    </a:prstGeom>
                  </pic:spPr>
                </pic:pic>
              </a:graphicData>
            </a:graphic>
            <wp14:sizeRelH relativeFrom="page">
              <wp14:pctWidth>0</wp14:pctWidth>
            </wp14:sizeRelH>
            <wp14:sizeRelV relativeFrom="page">
              <wp14:pctHeight>0</wp14:pctHeight>
            </wp14:sizeRelV>
          </wp:anchor>
        </w:drawing>
      </w:r>
      <w:r>
        <w:t xml:space="preserve">En 1996 fue suscrito un contrato de participación para la exploración de hidrocarburos y explotación de petróleo crudo en el bloque No. 23 de la Región Amazónica entre la Empresa Estatal de Petróleos del Ecuador y el consorcio conformado por la Compañía General de Combustibles S.A. y la Petrolera Argentina San Jorge S.A. </w:t>
      </w:r>
    </w:p>
    <w:p w:rsidR="002847DF" w:rsidRDefault="002847DF" w:rsidP="002847DF">
      <w:pPr>
        <w:jc w:val="both"/>
      </w:pPr>
      <w:r>
        <w:t xml:space="preserve">El espacio territorial otorgado para ese efecto en el contrato con la CGC comprendía una superficie de 200.000 Ha., en la que habitan varias asociaciones, comunidades y pueblos indígenas, tales como el pueblo Kichwa de Sarayaku. </w:t>
      </w:r>
    </w:p>
    <w:p w:rsidR="002847DF" w:rsidRDefault="002847DF" w:rsidP="002847DF">
      <w:pPr>
        <w:jc w:val="both"/>
      </w:pPr>
      <w:r>
        <w:t xml:space="preserve">En numerosas ocasiones la empresa petrolera CGC intentó gestionar la entrada al territorio del Pueblo Sarayaku y conseguir el consentimiento de dicho Pueblo para la exploración petrolera, aunque fueron infructuosas. </w:t>
      </w:r>
    </w:p>
    <w:p w:rsidR="002847DF" w:rsidRDefault="002847DF" w:rsidP="002847DF">
      <w:pPr>
        <w:jc w:val="both"/>
      </w:pPr>
      <w:r>
        <w:t xml:space="preserve">En el año 2002 la Asociación de Sarayaku envió una comunicación al Ministerio de Energía y Minas en que manifestó su oposición a la entrada de las compañías petroleras en su territorio ancestral. A raíz de la reactivación de la fase de exploración sísmica en noviembre de 2002 y ante el ingreso de la CGC al territorio de Sarayaku, la comunidad paralizó sus actividades económicas, administrativas y escolares. </w:t>
      </w:r>
    </w:p>
    <w:p w:rsidR="002847DF" w:rsidRDefault="002847DF" w:rsidP="002847DF">
      <w:pPr>
        <w:jc w:val="both"/>
      </w:pPr>
      <w:r>
        <w:lastRenderedPageBreak/>
        <w:t xml:space="preserve">Con el propósito de resguardar los límites del territorio para impedir la entrada de la CGC, miembros del Pueblo organizaron linderos de su territorio. La empresa abrió trochas sísmicas, habilitó siete helipuertos, destruyó cuevas, fuentes de agua, y ríos subterráneos, necesarios para consumo de agua de la comunidad; taló árboles y plantas de gran valor medioambiental, cultural y de subsistencia alimentaria de Sarayaku. </w:t>
      </w:r>
    </w:p>
    <w:p w:rsidR="002847DF" w:rsidRDefault="002847DF" w:rsidP="002847DF">
      <w:pPr>
        <w:jc w:val="both"/>
      </w:pPr>
      <w:r>
        <w:t>Entre febrero de 2003 y diciembre de 2004 fueron denunciados una serie de hechos de presuntas amenazas y hostigamientos realizados en perjuicio de líderes, miembros y un abogado de Sarayaku. El 19 de noviembre de 2010, PETROECUADOR firmó con la empresa CGC un Acta de Terminación por mutuo acuerdo del contrato de participación para la exploración y explotación de petróleo crudo en el Bloque 23. El Pueblo Sarayaku no fue informado de los términos de la negociación que sostenía el Estado con la empresa CGC ni de las condiciones en las que se celebró el Acta.</w:t>
      </w:r>
    </w:p>
    <w:p w:rsidR="002847DF" w:rsidRDefault="002847DF" w:rsidP="002847DF">
      <w:pPr>
        <w:spacing w:before="100" w:beforeAutospacing="1" w:after="100" w:afterAutospacing="1" w:line="240" w:lineRule="auto"/>
        <w:outlineLvl w:val="2"/>
        <w:rPr>
          <w:rFonts w:eastAsia="Times New Roman" w:cstheme="minorHAnsi"/>
          <w:b/>
          <w:bCs/>
          <w:lang w:eastAsia="es-ES"/>
        </w:rPr>
      </w:pPr>
    </w:p>
    <w:p w:rsidR="00BE731F" w:rsidRDefault="00BE731F"/>
    <w:sectPr w:rsidR="00BE731F">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3EE" w:rsidRDefault="003B23EE" w:rsidP="002847DF">
      <w:pPr>
        <w:spacing w:after="0" w:line="240" w:lineRule="auto"/>
      </w:pPr>
      <w:r>
        <w:separator/>
      </w:r>
    </w:p>
  </w:endnote>
  <w:endnote w:type="continuationSeparator" w:id="0">
    <w:p w:rsidR="003B23EE" w:rsidRDefault="003B23EE" w:rsidP="00284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DejaVu Sans">
    <w:charset w:val="00"/>
    <w:family w:val="swiss"/>
    <w:pitch w:val="variable"/>
    <w:sig w:usb0="E7000EFF" w:usb1="5200FDFF" w:usb2="0A04202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3EE" w:rsidRDefault="003B23EE" w:rsidP="002847DF">
      <w:pPr>
        <w:spacing w:after="0" w:line="240" w:lineRule="auto"/>
      </w:pPr>
      <w:r>
        <w:separator/>
      </w:r>
    </w:p>
  </w:footnote>
  <w:footnote w:type="continuationSeparator" w:id="0">
    <w:p w:rsidR="003B23EE" w:rsidRDefault="003B23EE" w:rsidP="002847DF">
      <w:pPr>
        <w:spacing w:after="0" w:line="240" w:lineRule="auto"/>
      </w:pPr>
      <w:r>
        <w:continuationSeparator/>
      </w:r>
    </w:p>
  </w:footnote>
  <w:footnote w:id="1">
    <w:p w:rsidR="002847DF" w:rsidRDefault="002847DF" w:rsidP="002847DF">
      <w:pPr>
        <w:pStyle w:val="Textonotapie"/>
      </w:pPr>
      <w:r>
        <w:rPr>
          <w:rStyle w:val="Refdenotaalpie"/>
        </w:rPr>
        <w:footnoteRef/>
      </w:r>
      <w:r>
        <w:t xml:space="preserve"> Tomado de: Corte Interamericana de derechos humanos, Ficha técnica: Pueblo Indígena Kichwa de Sarayaku vs. Ecuador. Recuperado el 09 de noviembre de 2016 de: </w:t>
      </w:r>
      <w:r w:rsidRPr="00151340">
        <w:t>http://www.corteidh.or.cr/cf/jurisprudencia2/ficha_tecnica.cfm?nId_Ficha=206&amp;lang=es</w:t>
      </w:r>
    </w:p>
    <w:p w:rsidR="002847DF" w:rsidRDefault="002847DF" w:rsidP="002847DF">
      <w:pPr>
        <w:pStyle w:val="Textonotapie"/>
      </w:pPr>
      <w:r>
        <w:t xml:space="preserve">Fotografías tomadas de : </w:t>
      </w:r>
      <w:r w:rsidRPr="00E444A5">
        <w:t>https://www.flickr.com/photos/corteidh/sets/72157627402561116/with/6029272285/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7DF" w:rsidRDefault="002847DF" w:rsidP="002847DF">
    <w:pPr>
      <w:pStyle w:val="Sinespaciado"/>
      <w:jc w:val="right"/>
      <w:rPr>
        <w:b/>
        <w:color w:val="2E74B5" w:themeColor="accent1" w:themeShade="BF"/>
        <w:sz w:val="20"/>
      </w:rPr>
    </w:pPr>
    <w:r w:rsidRPr="00A1125C">
      <w:rPr>
        <w:noProof/>
        <w:lang w:val="es-EC" w:eastAsia="es-EC"/>
      </w:rPr>
      <w:drawing>
        <wp:anchor distT="0" distB="0" distL="0" distR="0" simplePos="0" relativeHeight="251659264" behindDoc="0" locked="0" layoutInCell="1" allowOverlap="1" wp14:anchorId="7B3DBD02" wp14:editId="0A88E0E1">
          <wp:simplePos x="0" y="0"/>
          <wp:positionH relativeFrom="margin">
            <wp:posOffset>-222885</wp:posOffset>
          </wp:positionH>
          <wp:positionV relativeFrom="paragraph">
            <wp:posOffset>-53975</wp:posOffset>
          </wp:positionV>
          <wp:extent cx="1590675" cy="514350"/>
          <wp:effectExtent l="0" t="0" r="9525" b="0"/>
          <wp:wrapNone/>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rcRect/>
                  <a:stretch>
                    <a:fillRect/>
                  </a:stretch>
                </pic:blipFill>
                <pic:spPr bwMode="auto">
                  <a:xfrm>
                    <a:off x="0" y="0"/>
                    <a:ext cx="1590675" cy="514350"/>
                  </a:xfrm>
                  <a:prstGeom prst="rect">
                    <a:avLst/>
                  </a:prstGeom>
                  <a:noFill/>
                  <a:ln w="9525">
                    <a:noFill/>
                    <a:miter lim="800000"/>
                    <a:headEnd/>
                    <a:tailEnd/>
                  </a:ln>
                </pic:spPr>
              </pic:pic>
            </a:graphicData>
          </a:graphic>
        </wp:anchor>
      </w:drawing>
    </w:r>
  </w:p>
  <w:p w:rsidR="002847DF" w:rsidRDefault="002847DF" w:rsidP="002847DF">
    <w:pPr>
      <w:pStyle w:val="Sinespaciado"/>
      <w:jc w:val="right"/>
      <w:rPr>
        <w:b/>
        <w:color w:val="2E74B5" w:themeColor="accent1" w:themeShade="BF"/>
        <w:sz w:val="20"/>
      </w:rPr>
    </w:pPr>
    <w:r>
      <w:rPr>
        <w:b/>
        <w:color w:val="2E74B5" w:themeColor="accent1" w:themeShade="BF"/>
        <w:sz w:val="20"/>
      </w:rPr>
      <w:t>Dirección General de Educación e Investigación</w:t>
    </w:r>
  </w:p>
  <w:p w:rsidR="002847DF" w:rsidRPr="00DD41F9" w:rsidRDefault="002847DF" w:rsidP="002847DF">
    <w:pPr>
      <w:pStyle w:val="Sinespaciado"/>
      <w:jc w:val="right"/>
      <w:rPr>
        <w:b/>
        <w:color w:val="2E74B5" w:themeColor="accent1" w:themeShade="BF"/>
        <w:sz w:val="20"/>
      </w:rPr>
    </w:pPr>
    <w:r>
      <w:rPr>
        <w:b/>
        <w:color w:val="2E74B5" w:themeColor="accent1" w:themeShade="BF"/>
        <w:sz w:val="20"/>
      </w:rPr>
      <w:t>D</w:t>
    </w:r>
    <w:r w:rsidRPr="00DD41F9">
      <w:rPr>
        <w:b/>
        <w:color w:val="2E74B5" w:themeColor="accent1" w:themeShade="BF"/>
        <w:sz w:val="20"/>
      </w:rPr>
      <w:t>irección Nacional Técnica de Educación y Capacitación</w:t>
    </w:r>
  </w:p>
  <w:p w:rsidR="002847DF" w:rsidRDefault="002847DF">
    <w:pPr>
      <w:pStyle w:val="Encabezado"/>
    </w:pPr>
    <w:r>
      <w:rPr>
        <w:b/>
        <w:color w:val="2E74B5" w:themeColor="accent1" w:themeShade="BF"/>
        <w:sz w:val="20"/>
      </w:rPr>
      <w:tab/>
    </w:r>
    <w:r>
      <w:rPr>
        <w:b/>
        <w:color w:val="2E74B5" w:themeColor="accent1" w:themeShade="BF"/>
        <w:sz w:val="2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7DF"/>
    <w:rsid w:val="002847DF"/>
    <w:rsid w:val="003B23EE"/>
    <w:rsid w:val="00BE731F"/>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3B42A7-DA1E-45A5-83D6-D3843003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2847DF"/>
    <w:pPr>
      <w:widowControl w:val="0"/>
      <w:spacing w:after="0" w:line="240" w:lineRule="auto"/>
      <w:contextualSpacing/>
    </w:pPr>
    <w:rPr>
      <w:rFonts w:ascii="Calibri" w:eastAsia="Calibri" w:hAnsi="Calibri" w:cs="Calibri"/>
      <w:color w:val="000000"/>
      <w:sz w:val="20"/>
      <w:szCs w:val="20"/>
      <w:lang w:eastAsia="es-EC"/>
    </w:rPr>
  </w:style>
  <w:style w:type="character" w:customStyle="1" w:styleId="TextonotapieCar">
    <w:name w:val="Texto nota pie Car"/>
    <w:basedOn w:val="Fuentedeprrafopredeter"/>
    <w:link w:val="Textonotapie"/>
    <w:uiPriority w:val="99"/>
    <w:rsid w:val="002847DF"/>
    <w:rPr>
      <w:rFonts w:ascii="Calibri" w:eastAsia="Calibri" w:hAnsi="Calibri" w:cs="Calibri"/>
      <w:color w:val="000000"/>
      <w:sz w:val="20"/>
      <w:szCs w:val="20"/>
      <w:lang w:eastAsia="es-EC"/>
    </w:rPr>
  </w:style>
  <w:style w:type="character" w:styleId="Refdenotaalpie">
    <w:name w:val="footnote reference"/>
    <w:basedOn w:val="Fuentedeprrafopredeter"/>
    <w:uiPriority w:val="99"/>
    <w:semiHidden/>
    <w:unhideWhenUsed/>
    <w:rsid w:val="002847DF"/>
    <w:rPr>
      <w:vertAlign w:val="superscript"/>
    </w:rPr>
  </w:style>
  <w:style w:type="paragraph" w:styleId="Encabezado">
    <w:name w:val="header"/>
    <w:basedOn w:val="Normal"/>
    <w:link w:val="EncabezadoCar"/>
    <w:uiPriority w:val="99"/>
    <w:unhideWhenUsed/>
    <w:rsid w:val="002847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47DF"/>
  </w:style>
  <w:style w:type="paragraph" w:styleId="Piedepgina">
    <w:name w:val="footer"/>
    <w:basedOn w:val="Normal"/>
    <w:link w:val="PiedepginaCar"/>
    <w:uiPriority w:val="99"/>
    <w:unhideWhenUsed/>
    <w:rsid w:val="002847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47DF"/>
  </w:style>
  <w:style w:type="paragraph" w:styleId="Sinespaciado">
    <w:name w:val="No Spacing"/>
    <w:uiPriority w:val="1"/>
    <w:qFormat/>
    <w:rsid w:val="002847DF"/>
    <w:pPr>
      <w:suppressAutoHyphens/>
      <w:spacing w:after="0" w:line="100" w:lineRule="atLeast"/>
    </w:pPr>
    <w:rPr>
      <w:rFonts w:ascii="Calibri" w:eastAsia="DejaVu Sans" w:hAnsi="Calibri" w:cs="Calibri"/>
      <w:color w:val="00000A"/>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2258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Cintya Pamela Jaramillo Amores</dc:creator>
  <cp:keywords/>
  <dc:description/>
  <cp:lastModifiedBy>Cintya Pamela Jaramillo Amores</cp:lastModifiedBy>
  <cp:revision>1</cp:revision>
  <dcterms:created xsi:type="dcterms:W3CDTF">2016-11-14T23:34:00Z</dcterms:created>
  <dcterms:modified xsi:type="dcterms:W3CDTF">2016-11-14T23:35:00Z</dcterms:modified>
</cp:coreProperties>
</file>